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BC7D02">
        <w:rPr>
          <w:rFonts w:ascii="Calibri" w:hAnsi="Calibri" w:cs="Arial"/>
          <w:b/>
          <w:bCs/>
          <w:iCs/>
          <w:color w:val="7F7F7F" w:themeColor="text1" w:themeTint="80"/>
          <w:sz w:val="26"/>
          <w:szCs w:val="26"/>
        </w:rPr>
        <w:t>18</w:t>
      </w:r>
      <w:r w:rsidR="00953618">
        <w:rPr>
          <w:rFonts w:ascii="Calibri" w:hAnsi="Calibri" w:cs="Arial"/>
          <w:b/>
          <w:bCs/>
          <w:iCs/>
          <w:color w:val="7F7F7F" w:themeColor="text1" w:themeTint="80"/>
          <w:sz w:val="26"/>
          <w:szCs w:val="26"/>
        </w:rPr>
        <w:t xml:space="preserve"> </w:t>
      </w:r>
      <w:r w:rsidR="00BC7D02">
        <w:rPr>
          <w:rFonts w:ascii="Calibri" w:hAnsi="Calibri" w:cs="Arial"/>
          <w:b/>
          <w:bCs/>
          <w:iCs/>
          <w:color w:val="7F7F7F" w:themeColor="text1" w:themeTint="80"/>
          <w:sz w:val="26"/>
          <w:szCs w:val="26"/>
        </w:rPr>
        <w:t>dieciocho</w:t>
      </w:r>
      <w:r w:rsidR="00953618">
        <w:rPr>
          <w:rFonts w:ascii="Calibri" w:hAnsi="Calibri" w:cs="Arial"/>
          <w:b/>
          <w:bCs/>
          <w:iCs/>
          <w:color w:val="7F7F7F" w:themeColor="text1" w:themeTint="80"/>
          <w:sz w:val="26"/>
          <w:szCs w:val="26"/>
        </w:rPr>
        <w:t xml:space="preserve"> de abril</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953618">
        <w:rPr>
          <w:rFonts w:ascii="Calibri" w:hAnsi="Calibri" w:cs="Arial"/>
          <w:b/>
          <w:color w:val="7F7F7F" w:themeColor="text1" w:themeTint="80"/>
          <w:sz w:val="26"/>
          <w:szCs w:val="26"/>
        </w:rPr>
        <w:t>452/2015-JN</w:t>
      </w:r>
      <w:r w:rsidRPr="00BF5CA7">
        <w:rPr>
          <w:rFonts w:ascii="Calibri" w:hAnsi="Calibri" w:cs="Arial"/>
          <w:color w:val="7F7F7F" w:themeColor="text1" w:themeTint="80"/>
          <w:sz w:val="26"/>
          <w:szCs w:val="26"/>
        </w:rPr>
        <w:t>, promovido por l</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ciudadan</w:t>
      </w:r>
      <w:r>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w:t>
      </w:r>
      <w:r w:rsidR="00706189">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BC7D02">
        <w:rPr>
          <w:rFonts w:ascii="Calibri" w:hAnsi="Calibri" w:cs="Arial"/>
          <w:color w:val="7F7F7F" w:themeColor="text1" w:themeTint="80"/>
          <w:sz w:val="26"/>
          <w:szCs w:val="26"/>
        </w:rPr>
        <w:t xml:space="preserve">.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0022A1">
        <w:rPr>
          <w:rFonts w:ascii="Calibri" w:hAnsi="Calibri" w:cs="Arial"/>
          <w:color w:val="7F7F7F" w:themeColor="text1" w:themeTint="80"/>
          <w:sz w:val="26"/>
          <w:szCs w:val="26"/>
        </w:rPr>
        <w:t>la actora se ostenta</w:t>
      </w:r>
      <w:r w:rsidRPr="00BF5CA7">
        <w:rPr>
          <w:rFonts w:ascii="Calibri" w:hAnsi="Calibri" w:cs="Arial"/>
          <w:color w:val="7F7F7F" w:themeColor="text1" w:themeTint="80"/>
          <w:sz w:val="26"/>
          <w:szCs w:val="26"/>
        </w:rPr>
        <w:t xml:space="preserve"> sabedor</w:t>
      </w:r>
      <w:r w:rsidR="000022A1">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814513">
        <w:rPr>
          <w:rFonts w:ascii="Calibri" w:hAnsi="Calibri" w:cs="Arial"/>
          <w:color w:val="7F7F7F" w:themeColor="text1" w:themeTint="80"/>
          <w:sz w:val="26"/>
          <w:szCs w:val="26"/>
        </w:rPr>
        <w:t>14 catorce de mayo</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C73B77">
        <w:rPr>
          <w:rFonts w:ascii="Calibri" w:hAnsi="Calibri"/>
          <w:color w:val="7F7F7F" w:themeColor="text1" w:themeTint="80"/>
          <w:sz w:val="26"/>
          <w:szCs w:val="26"/>
        </w:rPr>
        <w:t>. . . . . . . . . . .</w:t>
      </w:r>
      <w:r w:rsidR="00E31BEB">
        <w:rPr>
          <w:rFonts w:ascii="Calibri" w:hAnsi="Calibri"/>
          <w:color w:val="7F7F7F" w:themeColor="text1" w:themeTint="80"/>
          <w:sz w:val="26"/>
          <w:szCs w:val="26"/>
        </w:rPr>
        <w:t xml:space="preserve"> . . </w:t>
      </w:r>
    </w:p>
    <w:p w:rsidR="004B3DFC" w:rsidRPr="00BF5CA7" w:rsidRDefault="004B3DFC" w:rsidP="004B3DFC">
      <w:pPr>
        <w:jc w:val="both"/>
        <w:rPr>
          <w:rFonts w:ascii="Calibri" w:hAnsi="Calibri"/>
          <w:b/>
          <w:i/>
          <w:iCs/>
          <w:color w:val="7F7F7F" w:themeColor="text1" w:themeTint="80"/>
          <w:sz w:val="26"/>
          <w:szCs w:val="26"/>
        </w:rPr>
      </w:pPr>
    </w:p>
    <w:p w:rsidR="00E31BEB" w:rsidRDefault="004B3DFC" w:rsidP="00E0072D">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814513">
        <w:rPr>
          <w:rFonts w:ascii="Calibri" w:hAnsi="Calibri" w:cs="Calibri"/>
          <w:color w:val="7F7F7F" w:themeColor="text1" w:themeTint="80"/>
          <w:sz w:val="26"/>
          <w:szCs w:val="26"/>
        </w:rPr>
        <w:t>14 catorce de mayo</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p>
    <w:p w:rsidR="00E31BEB" w:rsidRDefault="00E31BEB" w:rsidP="00E31BEB">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 xml:space="preserve">Expediente número </w:t>
      </w:r>
      <w:r w:rsidR="00953618">
        <w:rPr>
          <w:rFonts w:ascii="Calibri" w:hAnsi="Calibri" w:cs="Calibri"/>
          <w:b/>
          <w:color w:val="7F7F7F" w:themeColor="text1" w:themeTint="80"/>
          <w:sz w:val="26"/>
          <w:szCs w:val="26"/>
        </w:rPr>
        <w:t>452/2015-JN</w:t>
      </w:r>
    </w:p>
    <w:p w:rsidR="00E31BEB" w:rsidRDefault="00E31BEB" w:rsidP="00E0072D">
      <w:pPr>
        <w:ind w:firstLine="708"/>
        <w:jc w:val="both"/>
        <w:rPr>
          <w:rFonts w:ascii="Calibri" w:hAnsi="Calibri"/>
          <w:color w:val="7F7F7F" w:themeColor="text1" w:themeTint="80"/>
          <w:sz w:val="26"/>
          <w:szCs w:val="26"/>
        </w:rPr>
      </w:pPr>
    </w:p>
    <w:p w:rsidR="004B3DFC" w:rsidRPr="00E0072D" w:rsidRDefault="004B3DFC" w:rsidP="00E31BEB">
      <w:pPr>
        <w:jc w:val="both"/>
        <w:rPr>
          <w:rFonts w:ascii="Calibri" w:hAnsi="Calibri" w:cs="Calibri"/>
          <w:color w:val="7F7F7F" w:themeColor="text1" w:themeTint="80"/>
          <w:sz w:val="26"/>
          <w:szCs w:val="26"/>
        </w:rPr>
      </w:pPr>
      <w:r w:rsidRPr="00BF5CA7">
        <w:rPr>
          <w:rFonts w:ascii="Calibri" w:hAnsi="Calibri"/>
          <w:color w:val="7F7F7F" w:themeColor="text1" w:themeTint="80"/>
          <w:sz w:val="26"/>
          <w:szCs w:val="26"/>
        </w:rPr>
        <w:t xml:space="preserve">número </w:t>
      </w:r>
      <w:r w:rsidR="00814513">
        <w:rPr>
          <w:rFonts w:ascii="Calibri" w:hAnsi="Calibri"/>
          <w:color w:val="7F7F7F" w:themeColor="text1" w:themeTint="80"/>
          <w:sz w:val="26"/>
          <w:szCs w:val="26"/>
        </w:rPr>
        <w:t>DGFC/DT/0268/2015/JA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0022A1">
        <w:rPr>
          <w:rFonts w:ascii="Calibri" w:hAnsi="Calibri"/>
          <w:color w:val="7F7F7F" w:themeColor="text1" w:themeTint="80"/>
          <w:sz w:val="26"/>
          <w:szCs w:val="26"/>
        </w:rPr>
        <w:t>la actora</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871752">
        <w:rPr>
          <w:rFonts w:ascii="Calibri" w:hAnsi="Calibri" w:cs="Calibri"/>
          <w:color w:val="7F7F7F" w:themeColor="text1" w:themeTint="80"/>
          <w:sz w:val="26"/>
          <w:szCs w:val="26"/>
        </w:rPr>
        <w:t>4 cuatro</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871752">
        <w:rPr>
          <w:rFonts w:ascii="Calibri" w:hAnsi="Calibri" w:cs="Calibri"/>
          <w:color w:val="7F7F7F" w:themeColor="text1" w:themeTint="80"/>
          <w:sz w:val="26"/>
          <w:szCs w:val="26"/>
        </w:rPr>
        <w:t>0</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871752">
        <w:rPr>
          <w:rFonts w:ascii="Calibri" w:hAnsi="Calibri" w:cs="Calibri"/>
          <w:color w:val="7F7F7F" w:themeColor="text1" w:themeTint="80"/>
          <w:sz w:val="26"/>
          <w:szCs w:val="26"/>
        </w:rPr>
        <w:t>iez</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 xml:space="preserve">aunada la circunstancia de que el </w:t>
      </w:r>
      <w:r w:rsidR="00E54AA9">
        <w:rPr>
          <w:rFonts w:ascii="Calibri" w:hAnsi="Calibri"/>
          <w:color w:val="7F7F7F" w:themeColor="text1" w:themeTint="80"/>
          <w:sz w:val="26"/>
          <w:szCs w:val="26"/>
        </w:rPr>
        <w:t>Director General de Fiscalización y Control</w:t>
      </w:r>
      <w:r w:rsidR="00E54AA9" w:rsidRPr="00E54AA9">
        <w:rPr>
          <w:rFonts w:ascii="Calibri" w:hAnsi="Calibri"/>
          <w:color w:val="7F7F7F" w:themeColor="text1" w:themeTint="80"/>
          <w:sz w:val="26"/>
          <w:szCs w:val="26"/>
        </w:rPr>
        <w:t xml:space="preserve"> enjuiciado, al contestar la demanda, al referirse a los hechos, </w:t>
      </w:r>
      <w:r w:rsidR="00E54AA9" w:rsidRPr="00E54AA9">
        <w:rPr>
          <w:rFonts w:ascii="Calibri" w:hAnsi="Calibri"/>
          <w:b/>
          <w:color w:val="7F7F7F" w:themeColor="text1" w:themeTint="80"/>
          <w:sz w:val="26"/>
          <w:szCs w:val="26"/>
        </w:rPr>
        <w:t>reconoció</w:t>
      </w:r>
      <w:r w:rsidR="00E54AA9" w:rsidRPr="00E54AA9">
        <w:rPr>
          <w:rFonts w:ascii="Calibri" w:hAnsi="Calibri"/>
          <w:color w:val="7F7F7F" w:themeColor="text1" w:themeTint="80"/>
          <w:sz w:val="26"/>
          <w:szCs w:val="26"/>
        </w:rPr>
        <w:t xml:space="preserve"> haber emitido </w:t>
      </w:r>
      <w:r w:rsidR="00E54AA9">
        <w:rPr>
          <w:rFonts w:ascii="Calibri" w:hAnsi="Calibri"/>
          <w:color w:val="7F7F7F" w:themeColor="text1" w:themeTint="80"/>
          <w:sz w:val="26"/>
          <w:szCs w:val="26"/>
        </w:rPr>
        <w:t xml:space="preserve">la orden de visita de inspección </w:t>
      </w:r>
      <w:r w:rsidR="00E54AA9" w:rsidRPr="00E54AA9">
        <w:rPr>
          <w:rFonts w:ascii="Calibri" w:hAnsi="Calibri"/>
          <w:color w:val="7F7F7F" w:themeColor="text1" w:themeTint="80"/>
          <w:sz w:val="26"/>
          <w:szCs w:val="26"/>
        </w:rPr>
        <w:t xml:space="preserve">que se impugna, lo que, en los términos del primer párrafo del artículo 57 del Código de Procedimiento y Justicia Administrativa vigente en el Estado, constituye una </w:t>
      </w:r>
      <w:r w:rsidR="00E54AA9" w:rsidRPr="00E54AA9">
        <w:rPr>
          <w:rFonts w:ascii="Calibri" w:hAnsi="Calibri"/>
          <w:b/>
          <w:color w:val="7F7F7F" w:themeColor="text1" w:themeTint="80"/>
          <w:sz w:val="26"/>
          <w:szCs w:val="26"/>
        </w:rPr>
        <w:t>confesión expresa</w:t>
      </w:r>
      <w:r w:rsidR="00E54AA9" w:rsidRPr="00E54AA9">
        <w:rPr>
          <w:rFonts w:ascii="Calibri" w:hAnsi="Calibri"/>
          <w:color w:val="7F7F7F" w:themeColor="text1" w:themeTint="80"/>
          <w:sz w:val="26"/>
          <w:szCs w:val="26"/>
        </w:rPr>
        <w:t xml:space="preserve">, que hace </w:t>
      </w:r>
      <w:r w:rsidR="00E54AA9" w:rsidRPr="00E54AA9">
        <w:rPr>
          <w:rFonts w:ascii="Calibri" w:hAnsi="Calibri"/>
          <w:b/>
          <w:color w:val="7F7F7F" w:themeColor="text1" w:themeTint="80"/>
          <w:sz w:val="26"/>
          <w:szCs w:val="26"/>
        </w:rPr>
        <w:t>prueba plena</w:t>
      </w:r>
      <w:r w:rsidR="00E54AA9" w:rsidRPr="00E54AA9">
        <w:rPr>
          <w:rFonts w:ascii="Calibri" w:hAnsi="Calibri"/>
          <w:color w:val="7F7F7F" w:themeColor="text1" w:themeTint="80"/>
          <w:sz w:val="26"/>
          <w:szCs w:val="26"/>
        </w:rPr>
        <w:t>, al concurrir las circunstancias que se citan en las fracciones I, II y III del artículo 118 del mencionado Código</w:t>
      </w:r>
      <w:r w:rsidRPr="00BF5CA7">
        <w:rPr>
          <w:rFonts w:ascii="Calibri" w:hAnsi="Calibri"/>
          <w:color w:val="7F7F7F" w:themeColor="text1" w:themeTint="80"/>
          <w:sz w:val="26"/>
          <w:szCs w:val="26"/>
        </w:rPr>
        <w:t xml:space="preserve"> . . . . . </w:t>
      </w:r>
      <w:r w:rsidR="00684D24">
        <w:rPr>
          <w:rFonts w:ascii="Calibri" w:hAnsi="Calibri"/>
          <w:color w:val="7F7F7F" w:themeColor="text1" w:themeTint="80"/>
          <w:sz w:val="26"/>
          <w:szCs w:val="26"/>
        </w:rPr>
        <w:t>. .</w:t>
      </w:r>
      <w:r w:rsidR="00DA26F1">
        <w:rPr>
          <w:rFonts w:ascii="Calibri" w:hAnsi="Calibri"/>
          <w:color w:val="7F7F7F" w:themeColor="text1" w:themeTint="80"/>
          <w:sz w:val="26"/>
          <w:szCs w:val="26"/>
        </w:rPr>
        <w:t xml:space="preserve"> . . . . . . . . . . . .</w:t>
      </w:r>
    </w:p>
    <w:p w:rsidR="004B3DFC" w:rsidRPr="00BF5CA7" w:rsidRDefault="004B3DFC" w:rsidP="004B3DFC">
      <w:pPr>
        <w:ind w:firstLine="708"/>
        <w:jc w:val="both"/>
        <w:rPr>
          <w:rFonts w:ascii="Calibri" w:hAnsi="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D36AA9">
        <w:rPr>
          <w:rFonts w:ascii="Calibri" w:hAnsi="Calibri"/>
          <w:b/>
          <w:bCs/>
          <w:i/>
          <w:iCs/>
          <w:color w:val="7F7F7F" w:themeColor="text1" w:themeTint="80"/>
          <w:sz w:val="26"/>
          <w:szCs w:val="26"/>
        </w:rPr>
        <w:t xml:space="preserve">CUARTO.- </w:t>
      </w:r>
      <w:r w:rsidRPr="00D36AA9">
        <w:rPr>
          <w:rFonts w:ascii="Calibri" w:hAnsi="Calibri"/>
          <w:bCs/>
          <w:iCs/>
          <w:color w:val="7F7F7F" w:themeColor="text1" w:themeTint="80"/>
          <w:sz w:val="26"/>
          <w:szCs w:val="26"/>
        </w:rPr>
        <w:t>Por ser su</w:t>
      </w:r>
      <w:r w:rsidRPr="00BF5CA7">
        <w:rPr>
          <w:rFonts w:ascii="Calibri" w:hAnsi="Calibri"/>
          <w:bCs/>
          <w:iCs/>
          <w:color w:val="7F7F7F" w:themeColor="text1" w:themeTint="80"/>
          <w:sz w:val="26"/>
          <w:szCs w:val="26"/>
        </w:rPr>
        <w:t xml:space="preserve">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w:t>
      </w:r>
      <w:r w:rsidRPr="00BF5CA7">
        <w:rPr>
          <w:rFonts w:ascii="Calibri" w:hAnsi="Calibri"/>
          <w:bCs/>
          <w:iCs/>
          <w:color w:val="7F7F7F" w:themeColor="text1" w:themeTint="80"/>
          <w:sz w:val="26"/>
          <w:szCs w:val="26"/>
        </w:rPr>
        <w:lastRenderedPageBreak/>
        <w:t>de actualizarse alguna, podría imposibilitar el pronunciamiento por parte de este órgano jurisdiccional sobre el fondo de la controversia planteada. . . . . . . . . . . . . .</w:t>
      </w:r>
      <w:r w:rsidR="00DA26F1">
        <w:rPr>
          <w:rFonts w:ascii="Calibri" w:hAnsi="Calibri"/>
          <w:bCs/>
          <w:iCs/>
          <w:color w:val="7F7F7F" w:themeColor="text1" w:themeTint="80"/>
          <w:sz w:val="26"/>
          <w:szCs w:val="26"/>
        </w:rPr>
        <w:t xml:space="preserve"> </w:t>
      </w:r>
    </w:p>
    <w:p w:rsidR="00E50512" w:rsidRDefault="00E50512" w:rsidP="004B3DFC">
      <w:pPr>
        <w:ind w:firstLine="708"/>
        <w:jc w:val="both"/>
        <w:rPr>
          <w:rFonts w:ascii="Calibri" w:hAnsi="Calibri"/>
          <w:bCs/>
          <w:iCs/>
          <w:color w:val="7F7F7F" w:themeColor="text1" w:themeTint="80"/>
          <w:sz w:val="26"/>
          <w:szCs w:val="26"/>
        </w:rPr>
      </w:pPr>
    </w:p>
    <w:p w:rsidR="00781737" w:rsidRPr="00781737"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Asentado lo anterior, se advierte que en el presente proceso, el Director General de Fiscalización y Control </w:t>
      </w:r>
      <w:r w:rsidR="00E538D7">
        <w:rPr>
          <w:rFonts w:ascii="Calibri" w:hAnsi="Calibri"/>
          <w:bCs/>
          <w:iCs/>
          <w:color w:val="7F7F7F" w:themeColor="text1" w:themeTint="80"/>
          <w:sz w:val="26"/>
          <w:szCs w:val="26"/>
        </w:rPr>
        <w:t>demandado</w:t>
      </w:r>
      <w:r w:rsidRPr="00781737">
        <w:rPr>
          <w:rFonts w:ascii="Calibri" w:hAnsi="Calibri"/>
          <w:bCs/>
          <w:iCs/>
          <w:color w:val="7F7F7F" w:themeColor="text1" w:themeTint="80"/>
          <w:sz w:val="26"/>
          <w:szCs w:val="26"/>
        </w:rPr>
        <w:t>, exterioriz</w:t>
      </w:r>
      <w:r w:rsidR="00E538D7">
        <w:rPr>
          <w:rFonts w:ascii="Calibri" w:hAnsi="Calibri"/>
          <w:bCs/>
          <w:iCs/>
          <w:color w:val="7F7F7F" w:themeColor="text1" w:themeTint="80"/>
          <w:sz w:val="26"/>
          <w:szCs w:val="26"/>
        </w:rPr>
        <w:t>ó q</w:t>
      </w:r>
      <w:r w:rsidRPr="00781737">
        <w:rPr>
          <w:rFonts w:ascii="Calibri" w:hAnsi="Calibri"/>
          <w:bCs/>
          <w:iCs/>
          <w:color w:val="7F7F7F" w:themeColor="text1" w:themeTint="80"/>
          <w:sz w:val="26"/>
          <w:szCs w:val="26"/>
        </w:rPr>
        <w:t>ue el proceso es improcedente; aduciendo que se actualiza</w:t>
      </w:r>
      <w:r w:rsidR="00E538D7">
        <w:rPr>
          <w:rFonts w:ascii="Calibri" w:hAnsi="Calibri"/>
          <w:bCs/>
          <w:iCs/>
          <w:color w:val="7F7F7F" w:themeColor="text1" w:themeTint="80"/>
          <w:sz w:val="26"/>
          <w:szCs w:val="26"/>
        </w:rPr>
        <w:t>n</w:t>
      </w:r>
      <w:r w:rsidRPr="00781737">
        <w:rPr>
          <w:rFonts w:ascii="Calibri" w:hAnsi="Calibri"/>
          <w:bCs/>
          <w:iCs/>
          <w:color w:val="7F7F7F" w:themeColor="text1" w:themeTint="80"/>
          <w:sz w:val="26"/>
          <w:szCs w:val="26"/>
        </w:rPr>
        <w:t xml:space="preserve"> las causales previstas en el artículo 261, en sus fracciones I y VII, esta última concatenada con el artículo 251, del Código de Procedimiento y Justicia Administrativa antes citado; al referir, </w:t>
      </w:r>
      <w:r w:rsidR="00FF2C6D" w:rsidRPr="00FF2C6D">
        <w:rPr>
          <w:rFonts w:ascii="Calibri" w:hAnsi="Calibri"/>
          <w:bCs/>
          <w:i/>
          <w:iCs/>
          <w:color w:val="7F7F7F" w:themeColor="text1" w:themeTint="80"/>
          <w:sz w:val="26"/>
          <w:szCs w:val="26"/>
        </w:rPr>
        <w:t>“</w:t>
      </w:r>
      <w:r w:rsidRPr="00FF2C6D">
        <w:rPr>
          <w:rFonts w:ascii="Calibri" w:hAnsi="Calibri"/>
          <w:bCs/>
          <w:i/>
          <w:iCs/>
          <w:color w:val="7F7F7F" w:themeColor="text1" w:themeTint="80"/>
          <w:sz w:val="26"/>
          <w:szCs w:val="26"/>
        </w:rPr>
        <w:t>grosso modo</w:t>
      </w:r>
      <w:r w:rsidR="00FF2C6D">
        <w:rPr>
          <w:rFonts w:ascii="Calibri" w:hAnsi="Calibri"/>
          <w:bCs/>
          <w:iCs/>
          <w:color w:val="7F7F7F" w:themeColor="text1" w:themeTint="80"/>
          <w:sz w:val="26"/>
          <w:szCs w:val="26"/>
        </w:rPr>
        <w:t>”</w:t>
      </w:r>
      <w:r w:rsidRPr="00781737">
        <w:rPr>
          <w:rFonts w:ascii="Calibri" w:hAnsi="Calibri"/>
          <w:bCs/>
          <w:iCs/>
          <w:color w:val="7F7F7F" w:themeColor="text1" w:themeTint="80"/>
          <w:sz w:val="26"/>
          <w:szCs w:val="26"/>
        </w:rPr>
        <w:t xml:space="preserve">, que no se afecta el interés jurídico de la impetrante, toda vez que no demuestra ser titular de un derecho subjetivo y que no le asiste ningún derecho que haya sido vulnerado . . . . . . . . . . . . . . . . . . . . . . . . . . . . . . . . . . </w:t>
      </w:r>
      <w:r w:rsidR="00DA26F1">
        <w:rPr>
          <w:rFonts w:ascii="Calibri" w:hAnsi="Calibri"/>
          <w:bCs/>
          <w:iCs/>
          <w:color w:val="7F7F7F" w:themeColor="text1" w:themeTint="80"/>
          <w:sz w:val="26"/>
          <w:szCs w:val="26"/>
        </w:rPr>
        <w:t>. . . . . . . . . . . . . .</w:t>
      </w:r>
    </w:p>
    <w:p w:rsidR="00781737" w:rsidRPr="00781737" w:rsidRDefault="00781737" w:rsidP="00781737">
      <w:pPr>
        <w:ind w:firstLine="708"/>
        <w:jc w:val="both"/>
        <w:rPr>
          <w:rFonts w:ascii="Calibri" w:hAnsi="Calibri"/>
          <w:bCs/>
          <w:iCs/>
          <w:color w:val="7F7F7F" w:themeColor="text1" w:themeTint="80"/>
          <w:sz w:val="26"/>
          <w:szCs w:val="26"/>
        </w:rPr>
      </w:pPr>
    </w:p>
    <w:p w:rsidR="00E50512" w:rsidRDefault="00781737" w:rsidP="00781737">
      <w:pPr>
        <w:ind w:firstLine="708"/>
        <w:jc w:val="both"/>
        <w:rPr>
          <w:rFonts w:ascii="Calibri" w:hAnsi="Calibri"/>
          <w:bCs/>
          <w:iCs/>
          <w:color w:val="7F7F7F" w:themeColor="text1" w:themeTint="80"/>
          <w:sz w:val="26"/>
          <w:szCs w:val="26"/>
        </w:rPr>
      </w:pPr>
      <w:r w:rsidRPr="00781737">
        <w:rPr>
          <w:rFonts w:ascii="Calibri" w:hAnsi="Calibri"/>
          <w:bCs/>
          <w:iCs/>
          <w:color w:val="7F7F7F" w:themeColor="text1" w:themeTint="80"/>
          <w:sz w:val="26"/>
          <w:szCs w:val="26"/>
        </w:rPr>
        <w:t xml:space="preserve">Causales de improcedencia que, para quien resuelve, </w:t>
      </w:r>
      <w:r w:rsidRPr="00781737">
        <w:rPr>
          <w:rFonts w:ascii="Calibri" w:hAnsi="Calibri"/>
          <w:b/>
          <w:bCs/>
          <w:iCs/>
          <w:color w:val="7F7F7F" w:themeColor="text1" w:themeTint="80"/>
          <w:sz w:val="26"/>
          <w:szCs w:val="26"/>
        </w:rPr>
        <w:t>no se actualizan</w:t>
      </w:r>
      <w:r w:rsidRPr="00781737">
        <w:rPr>
          <w:rFonts w:ascii="Calibri" w:hAnsi="Calibri"/>
          <w:bCs/>
          <w:iCs/>
          <w:color w:val="7F7F7F" w:themeColor="text1" w:themeTint="80"/>
          <w:sz w:val="26"/>
          <w:szCs w:val="26"/>
        </w:rPr>
        <w:t xml:space="preserve">; pues </w:t>
      </w:r>
      <w:r w:rsidRPr="00781737">
        <w:rPr>
          <w:rFonts w:ascii="Calibri" w:hAnsi="Calibri"/>
          <w:b/>
          <w:bCs/>
          <w:iCs/>
          <w:color w:val="7F7F7F" w:themeColor="text1" w:themeTint="80"/>
          <w:sz w:val="26"/>
          <w:szCs w:val="26"/>
        </w:rPr>
        <w:t>sí se afectan</w:t>
      </w:r>
      <w:r w:rsidRPr="00781737">
        <w:rPr>
          <w:rFonts w:ascii="Calibri" w:hAnsi="Calibri"/>
          <w:bCs/>
          <w:iCs/>
          <w:color w:val="7F7F7F" w:themeColor="text1" w:themeTint="80"/>
          <w:sz w:val="26"/>
          <w:szCs w:val="26"/>
        </w:rPr>
        <w:t xml:space="preserve"> los intereses jurídicos de la impetrante; toda vez que se instauró en su contra, por la Dirección General de Fiscalización y Control, el procedimiento administrativo número </w:t>
      </w:r>
      <w:r w:rsidR="00814513">
        <w:rPr>
          <w:rFonts w:ascii="Calibri" w:hAnsi="Calibri"/>
          <w:bCs/>
          <w:iCs/>
          <w:color w:val="7F7F7F" w:themeColor="text1" w:themeTint="80"/>
          <w:sz w:val="26"/>
          <w:szCs w:val="26"/>
        </w:rPr>
        <w:t>DGFC/DT/0268/2015/JA</w:t>
      </w:r>
      <w:r w:rsidRPr="00781737">
        <w:rPr>
          <w:rFonts w:ascii="Calibri" w:hAnsi="Calibri"/>
          <w:bCs/>
          <w:iCs/>
          <w:color w:val="7F7F7F" w:themeColor="text1" w:themeTint="80"/>
          <w:sz w:val="26"/>
          <w:szCs w:val="26"/>
        </w:rPr>
        <w:t xml:space="preserve">, </w:t>
      </w:r>
      <w:r w:rsidR="0028391D" w:rsidRPr="00781737">
        <w:rPr>
          <w:rFonts w:ascii="Calibri" w:hAnsi="Calibri"/>
          <w:bCs/>
          <w:iCs/>
          <w:color w:val="7F7F7F" w:themeColor="text1" w:themeTint="80"/>
          <w:sz w:val="26"/>
          <w:szCs w:val="26"/>
        </w:rPr>
        <w:t>mismo en el que</w:t>
      </w:r>
      <w:r w:rsidR="0028391D">
        <w:rPr>
          <w:rFonts w:ascii="Calibri" w:hAnsi="Calibri"/>
          <w:bCs/>
          <w:iCs/>
          <w:color w:val="7F7F7F" w:themeColor="text1" w:themeTint="80"/>
          <w:sz w:val="26"/>
          <w:szCs w:val="26"/>
        </w:rPr>
        <w:t>,</w:t>
      </w:r>
      <w:r w:rsidR="0028391D" w:rsidRPr="00781737">
        <w:rPr>
          <w:rFonts w:ascii="Calibri" w:hAnsi="Calibri"/>
          <w:bCs/>
          <w:iCs/>
          <w:color w:val="7F7F7F" w:themeColor="text1" w:themeTint="80"/>
          <w:sz w:val="26"/>
          <w:szCs w:val="26"/>
        </w:rPr>
        <w:t xml:space="preserve"> eventualmente, po</w:t>
      </w:r>
      <w:r w:rsidR="00DA26F1">
        <w:rPr>
          <w:rFonts w:ascii="Calibri" w:hAnsi="Calibri"/>
          <w:bCs/>
          <w:iCs/>
          <w:color w:val="7F7F7F" w:themeColor="text1" w:themeTint="80"/>
          <w:sz w:val="26"/>
          <w:szCs w:val="26"/>
        </w:rPr>
        <w:t>dría imponérsele alguna sanción;</w:t>
      </w:r>
      <w:r w:rsidR="0028391D" w:rsidRPr="00781737">
        <w:rPr>
          <w:rFonts w:ascii="Calibri" w:hAnsi="Calibri"/>
          <w:bCs/>
          <w:iCs/>
          <w:color w:val="7F7F7F" w:themeColor="text1" w:themeTint="80"/>
          <w:sz w:val="26"/>
          <w:szCs w:val="26"/>
        </w:rPr>
        <w:t xml:space="preserve"> </w:t>
      </w:r>
      <w:r w:rsidRPr="00781737">
        <w:rPr>
          <w:rFonts w:ascii="Calibri" w:hAnsi="Calibri"/>
          <w:bCs/>
          <w:iCs/>
          <w:color w:val="7F7F7F" w:themeColor="text1" w:themeTint="80"/>
          <w:sz w:val="26"/>
          <w:szCs w:val="26"/>
        </w:rPr>
        <w:t xml:space="preserve">además de que se clausuró una máquina de juegos de azar que se encontraba al interior del establecimiento visitado, lo que sí afecta la esfera de derechos de la actora, sobre todo porque se considera que </w:t>
      </w:r>
      <w:r>
        <w:rPr>
          <w:rFonts w:ascii="Calibri" w:hAnsi="Calibri"/>
          <w:bCs/>
          <w:iCs/>
          <w:color w:val="7F7F7F" w:themeColor="text1" w:themeTint="80"/>
          <w:sz w:val="26"/>
          <w:szCs w:val="26"/>
        </w:rPr>
        <w:t>pudiera existir violación al</w:t>
      </w:r>
      <w:r w:rsidRPr="00781737">
        <w:rPr>
          <w:rFonts w:ascii="Calibri" w:hAnsi="Calibri"/>
          <w:bCs/>
          <w:iCs/>
          <w:color w:val="7F7F7F" w:themeColor="text1" w:themeTint="80"/>
          <w:sz w:val="26"/>
          <w:szCs w:val="26"/>
        </w:rPr>
        <w:t xml:space="preserve"> derecho humano al debido proceso; por lo que al no prosperar las causales de improcedencia señaladas, ésta sí se encuentra legitimada para promover el proceso que nos ocupa. . . . . . . . . . . . . . . .</w:t>
      </w:r>
    </w:p>
    <w:p w:rsidR="00781737" w:rsidRDefault="00781737" w:rsidP="00781737">
      <w:pPr>
        <w:ind w:firstLine="708"/>
        <w:jc w:val="both"/>
        <w:rPr>
          <w:rFonts w:ascii="Calibri" w:hAnsi="Calibri"/>
          <w:bCs/>
          <w:iCs/>
          <w:color w:val="000000" w:themeColor="text1"/>
          <w:sz w:val="26"/>
          <w:szCs w:val="26"/>
        </w:rPr>
      </w:pPr>
    </w:p>
    <w:p w:rsidR="00E50512" w:rsidRPr="00E50512" w:rsidRDefault="00E50512" w:rsidP="00E50512">
      <w:pPr>
        <w:ind w:firstLine="708"/>
        <w:jc w:val="both"/>
        <w:rPr>
          <w:rFonts w:ascii="Calibri" w:hAnsi="Calibri"/>
          <w:bCs/>
          <w:iCs/>
          <w:color w:val="7F7F7F" w:themeColor="text1" w:themeTint="80"/>
          <w:sz w:val="26"/>
          <w:szCs w:val="26"/>
        </w:rPr>
      </w:pPr>
      <w:r w:rsidRPr="00E50512">
        <w:rPr>
          <w:rFonts w:ascii="Calibri" w:hAnsi="Calibri"/>
          <w:bCs/>
          <w:iCs/>
          <w:color w:val="7F7F7F" w:themeColor="text1" w:themeTint="80"/>
          <w:sz w:val="26"/>
          <w:szCs w:val="26"/>
        </w:rPr>
        <w:t xml:space="preserve">Continuando con el análisis de las causales de improcedencia o sobreseimiento, de manera oficiosa, este Juzgador </w:t>
      </w:r>
      <w:r w:rsidRPr="00E50512">
        <w:rPr>
          <w:rFonts w:ascii="Calibri" w:hAnsi="Calibri"/>
          <w:b/>
          <w:bCs/>
          <w:iCs/>
          <w:color w:val="7F7F7F" w:themeColor="text1" w:themeTint="80"/>
          <w:sz w:val="26"/>
          <w:szCs w:val="26"/>
        </w:rPr>
        <w:t>no percibe</w:t>
      </w:r>
      <w:r w:rsidRPr="00E50512">
        <w:rPr>
          <w:rFonts w:ascii="Calibri" w:hAnsi="Calibri"/>
          <w:bCs/>
          <w:iCs/>
          <w:color w:val="7F7F7F" w:themeColor="text1" w:themeTint="80"/>
          <w:sz w:val="26"/>
          <w:szCs w:val="26"/>
        </w:rPr>
        <w:t xml:space="preserve"> la actualización de alguna que impida el estudio de fondo de la presente causa administrativa, respecto de los actos impugnados consistentes en la orden</w:t>
      </w:r>
      <w:r>
        <w:rPr>
          <w:rFonts w:ascii="Calibri" w:hAnsi="Calibri"/>
          <w:bCs/>
          <w:iCs/>
          <w:color w:val="7F7F7F" w:themeColor="text1" w:themeTint="80"/>
          <w:sz w:val="26"/>
          <w:szCs w:val="26"/>
        </w:rPr>
        <w:t xml:space="preserve"> de visita de inspección</w:t>
      </w:r>
      <w:r w:rsidRPr="00E50512">
        <w:rPr>
          <w:rFonts w:ascii="Calibri" w:hAnsi="Calibri"/>
          <w:bCs/>
          <w:iCs/>
          <w:color w:val="7F7F7F" w:themeColor="text1" w:themeTint="80"/>
          <w:sz w:val="26"/>
          <w:szCs w:val="26"/>
        </w:rPr>
        <w:t>, el acta de visita de inspección, la orden de clausura y</w:t>
      </w:r>
      <w:r>
        <w:rPr>
          <w:rFonts w:ascii="Calibri" w:hAnsi="Calibri"/>
          <w:bCs/>
          <w:iCs/>
          <w:color w:val="7F7F7F" w:themeColor="text1" w:themeTint="80"/>
          <w:sz w:val="26"/>
          <w:szCs w:val="26"/>
        </w:rPr>
        <w:t>,</w:t>
      </w:r>
      <w:r w:rsidRPr="00E50512">
        <w:rPr>
          <w:rFonts w:ascii="Calibri" w:hAnsi="Calibri"/>
          <w:bCs/>
          <w:iCs/>
          <w:color w:val="7F7F7F" w:themeColor="text1" w:themeTint="80"/>
          <w:sz w:val="26"/>
          <w:szCs w:val="26"/>
        </w:rPr>
        <w:t xml:space="preserve"> el acta circunstanciada de fijación de sellos de clausura; por lo que en consecuencia </w:t>
      </w:r>
      <w:r w:rsidRPr="001D2D49">
        <w:rPr>
          <w:rFonts w:ascii="Calibri" w:hAnsi="Calibri"/>
          <w:bCs/>
          <w:iCs/>
          <w:color w:val="7F7F7F" w:themeColor="text1" w:themeTint="80"/>
          <w:sz w:val="26"/>
          <w:szCs w:val="26"/>
        </w:rPr>
        <w:t>es</w:t>
      </w:r>
      <w:r w:rsidRPr="00E50512">
        <w:rPr>
          <w:rFonts w:ascii="Calibri" w:hAnsi="Calibri"/>
          <w:b/>
          <w:bCs/>
          <w:iCs/>
          <w:color w:val="7F7F7F" w:themeColor="text1" w:themeTint="80"/>
          <w:sz w:val="26"/>
          <w:szCs w:val="26"/>
        </w:rPr>
        <w:t xml:space="preserve"> procedente</w:t>
      </w:r>
      <w:r w:rsidRPr="00E50512">
        <w:rPr>
          <w:rFonts w:ascii="Calibri" w:hAnsi="Calibri"/>
          <w:bCs/>
          <w:iCs/>
          <w:color w:val="7F7F7F" w:themeColor="text1" w:themeTint="80"/>
          <w:sz w:val="26"/>
          <w:szCs w:val="26"/>
        </w:rPr>
        <w:t xml:space="preserve"> el presente proceso respecto de esos actos administrativos. . . . .</w:t>
      </w:r>
      <w:r w:rsidR="00DA26F1">
        <w:rPr>
          <w:rFonts w:ascii="Calibri" w:hAnsi="Calibri"/>
          <w:bCs/>
          <w:iCs/>
          <w:color w:val="7F7F7F" w:themeColor="text1" w:themeTint="80"/>
          <w:sz w:val="26"/>
          <w:szCs w:val="26"/>
        </w:rPr>
        <w:t xml:space="preserve"> . . . . </w:t>
      </w:r>
    </w:p>
    <w:p w:rsidR="004B3DFC" w:rsidRPr="00BF5CA7" w:rsidRDefault="004B3DFC" w:rsidP="004B3DFC">
      <w:pPr>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desprende que con fecha </w:t>
      </w:r>
      <w:r w:rsidR="00814513">
        <w:rPr>
          <w:rFonts w:ascii="Calibri" w:hAnsi="Calibri"/>
          <w:color w:val="7F7F7F" w:themeColor="text1" w:themeTint="80"/>
          <w:sz w:val="26"/>
          <w:szCs w:val="26"/>
        </w:rPr>
        <w:t>14 catorce de mayo</w:t>
      </w:r>
      <w:r w:rsidRPr="00BF5CA7">
        <w:rPr>
          <w:rFonts w:ascii="Calibri" w:hAnsi="Calibri"/>
          <w:color w:val="7F7F7F" w:themeColor="text1" w:themeTint="80"/>
          <w:sz w:val="26"/>
          <w:szCs w:val="26"/>
        </w:rPr>
        <w:t xml:space="preserve"> del año 2015 dos mil quince, dentro del expediente número </w:t>
      </w:r>
      <w:r w:rsidR="00814513">
        <w:rPr>
          <w:rFonts w:ascii="Calibri" w:hAnsi="Calibri"/>
          <w:color w:val="7F7F7F" w:themeColor="text1" w:themeTint="80"/>
          <w:sz w:val="26"/>
          <w:szCs w:val="26"/>
        </w:rPr>
        <w:t>DGFC/DT/0268/2015/JA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Director General de Fiscalización y Control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xml:space="preserve">; y, que en relación a la misma, ese mismo día,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706189">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w:t>
      </w:r>
      <w:r w:rsidRPr="00BF5CA7">
        <w:rPr>
          <w:rFonts w:ascii="Calibri" w:hAnsi="Calibri"/>
          <w:color w:val="7F7F7F" w:themeColor="text1" w:themeTint="80"/>
          <w:sz w:val="26"/>
          <w:szCs w:val="26"/>
        </w:rPr>
        <w:lastRenderedPageBreak/>
        <w:t xml:space="preserve">Guanajuato, en vigor; en el establecimiento ubicado en el domicilio marcado con el número </w:t>
      </w:r>
      <w:bookmarkStart w:id="0" w:name="_GoBack"/>
      <w:r w:rsidR="00061D4D">
        <w:rPr>
          <w:rFonts w:ascii="Calibri" w:hAnsi="Calibri"/>
          <w:color w:val="7F7F7F" w:themeColor="text1" w:themeTint="80"/>
          <w:sz w:val="26"/>
          <w:szCs w:val="26"/>
        </w:rPr>
        <w:t>*****</w:t>
      </w:r>
      <w:bookmarkEnd w:id="0"/>
      <w:r w:rsidR="00E538D7">
        <w:rPr>
          <w:rFonts w:ascii="Calibri" w:hAnsi="Calibri"/>
          <w:color w:val="7F7F7F" w:themeColor="text1" w:themeTint="80"/>
          <w:sz w:val="26"/>
          <w:szCs w:val="26"/>
        </w:rPr>
        <w:t xml:space="preserve"> </w:t>
      </w:r>
      <w:r w:rsidR="00FB227A">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de </w:t>
      </w:r>
      <w:r w:rsidR="00AE1A6F">
        <w:rPr>
          <w:rFonts w:ascii="Calibri" w:hAnsi="Calibri"/>
          <w:color w:val="7F7F7F" w:themeColor="text1" w:themeTint="80"/>
          <w:sz w:val="26"/>
          <w:szCs w:val="26"/>
        </w:rPr>
        <w:t>est</w:t>
      </w:r>
      <w:r w:rsidR="00365685">
        <w:rPr>
          <w:rFonts w:ascii="Calibri" w:hAnsi="Calibri"/>
          <w:color w:val="7F7F7F" w:themeColor="text1" w:themeTint="80"/>
          <w:sz w:val="26"/>
          <w:szCs w:val="26"/>
        </w:rPr>
        <w:t>a ci</w:t>
      </w:r>
      <w:r w:rsidR="00AE1A6F">
        <w:rPr>
          <w:rFonts w:ascii="Calibri" w:hAnsi="Calibri"/>
          <w:color w:val="7F7F7F" w:themeColor="text1" w:themeTint="80"/>
          <w:sz w:val="26"/>
          <w:szCs w:val="26"/>
        </w:rPr>
        <w:t>u</w:t>
      </w:r>
      <w:r w:rsidR="00365685">
        <w:rPr>
          <w:rFonts w:ascii="Calibri" w:hAnsi="Calibri"/>
          <w:color w:val="7F7F7F" w:themeColor="text1" w:themeTint="80"/>
          <w:sz w:val="26"/>
          <w:szCs w:val="26"/>
        </w:rPr>
        <w:t>dad</w:t>
      </w:r>
      <w:r w:rsidRPr="00BF5CA7">
        <w:rPr>
          <w:rFonts w:ascii="Calibri" w:hAnsi="Calibri"/>
          <w:color w:val="7F7F7F" w:themeColor="text1" w:themeTint="80"/>
          <w:sz w:val="26"/>
          <w:szCs w:val="26"/>
        </w:rPr>
        <w:t>; llevando a cabo la visita de inspección; entendiendo la diligencia con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ahora actor</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w:t>
      </w:r>
      <w:r w:rsidR="00365685">
        <w:rPr>
          <w:rFonts w:ascii="Calibri" w:hAnsi="Calibri"/>
          <w:color w:val="7F7F7F" w:themeColor="text1" w:themeTint="80"/>
          <w:sz w:val="26"/>
          <w:szCs w:val="26"/>
        </w:rPr>
        <w:t xml:space="preserve">ausurarla. </w:t>
      </w:r>
    </w:p>
    <w:p w:rsidR="004B3DFC" w:rsidRPr="00BF5CA7" w:rsidRDefault="004B3DFC" w:rsidP="004B3DFC">
      <w:pPr>
        <w:pStyle w:val="Sangra2detindependiente"/>
        <w:ind w:firstLine="0"/>
        <w:rPr>
          <w:rFonts w:ascii="Calibri" w:hAnsi="Calibri"/>
          <w:color w:val="7F7F7F" w:themeColor="text1" w:themeTint="80"/>
          <w:sz w:val="26"/>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Actos que l</w:t>
      </w:r>
      <w:r w:rsidR="00AE1A6F">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4B3DFC" w:rsidRPr="00BF5CA7" w:rsidRDefault="004B3DFC" w:rsidP="004B3DFC">
      <w:pPr>
        <w:pStyle w:val="Textoindependiente"/>
        <w:tabs>
          <w:tab w:val="left" w:pos="3594"/>
        </w:tabs>
        <w:rPr>
          <w:rFonts w:ascii="Calibri" w:hAnsi="Calibri" w:cs="Calibri"/>
          <w:iCs/>
          <w:color w:val="7F7F7F" w:themeColor="text1" w:themeTint="80"/>
          <w:sz w:val="26"/>
          <w:szCs w:val="26"/>
        </w:rPr>
      </w:pPr>
    </w:p>
    <w:p w:rsidR="004B3DFC" w:rsidRDefault="004B3DFC" w:rsidP="004B3DFC">
      <w:pPr>
        <w:pStyle w:val="Textoindependiente"/>
        <w:tabs>
          <w:tab w:val="left" w:pos="3594"/>
        </w:tabs>
        <w:rPr>
          <w:rFonts w:ascii="Calibri" w:hAnsi="Calibri" w:cs="Calibri"/>
          <w:iCs/>
          <w:color w:val="7F7F7F" w:themeColor="text1" w:themeTint="80"/>
          <w:sz w:val="26"/>
          <w:szCs w:val="26"/>
        </w:rPr>
      </w:pPr>
      <w:r w:rsidRPr="00BF5CA7">
        <w:rPr>
          <w:rFonts w:ascii="Calibri" w:hAnsi="Calibri" w:cs="Calibri"/>
          <w:iCs/>
          <w:color w:val="7F7F7F" w:themeColor="text1" w:themeTint="80"/>
          <w:sz w:val="26"/>
          <w:szCs w:val="26"/>
        </w:rPr>
        <w:t xml:space="preserve">            A lo expresado por </w:t>
      </w:r>
      <w:r w:rsidR="00A02F6E">
        <w:rPr>
          <w:rFonts w:ascii="Calibri" w:hAnsi="Calibri" w:cs="Calibri"/>
          <w:iCs/>
          <w:color w:val="7F7F7F" w:themeColor="text1" w:themeTint="80"/>
          <w:sz w:val="26"/>
          <w:szCs w:val="26"/>
        </w:rPr>
        <w:t>la</w:t>
      </w:r>
      <w:r w:rsidRPr="00BF5CA7">
        <w:rPr>
          <w:rFonts w:ascii="Calibri" w:hAnsi="Calibri" w:cs="Calibri"/>
          <w:iCs/>
          <w:color w:val="7F7F7F" w:themeColor="text1" w:themeTint="80"/>
          <w:sz w:val="26"/>
          <w:szCs w:val="26"/>
        </w:rPr>
        <w:t xml:space="preserve"> impetrante, el Director enjuiciado, </w:t>
      </w:r>
      <w:r w:rsidR="00E538D7">
        <w:rPr>
          <w:rFonts w:ascii="Calibri" w:hAnsi="Calibri" w:cs="Calibri"/>
          <w:iCs/>
          <w:color w:val="7F7F7F" w:themeColor="text1" w:themeTint="80"/>
          <w:sz w:val="26"/>
          <w:szCs w:val="26"/>
        </w:rPr>
        <w:t xml:space="preserve">contestó </w:t>
      </w:r>
      <w:r w:rsidR="00EC7D6A">
        <w:rPr>
          <w:rFonts w:ascii="Calibri" w:hAnsi="Calibri" w:cs="Calibri"/>
          <w:iCs/>
          <w:color w:val="7F7F7F" w:themeColor="text1" w:themeTint="80"/>
          <w:sz w:val="26"/>
          <w:szCs w:val="26"/>
        </w:rPr>
        <w:t xml:space="preserve">que era legal el procedimiento elaborado y que la actora </w:t>
      </w:r>
      <w:r w:rsidR="006F74D0">
        <w:rPr>
          <w:rFonts w:ascii="Calibri" w:hAnsi="Calibri" w:cs="Calibri"/>
          <w:iCs/>
          <w:color w:val="7F7F7F" w:themeColor="text1" w:themeTint="80"/>
          <w:sz w:val="26"/>
          <w:szCs w:val="26"/>
        </w:rPr>
        <w:t>no desvirtúa el hecho de que se encontraba realizando una conducta expresamente prohibida</w:t>
      </w:r>
      <w:r w:rsidRPr="00BF5CA7">
        <w:rPr>
          <w:rFonts w:ascii="Calibri" w:hAnsi="Calibri" w:cs="Calibri"/>
          <w:iCs/>
          <w:color w:val="7F7F7F" w:themeColor="text1" w:themeTint="80"/>
          <w:sz w:val="26"/>
          <w:szCs w:val="26"/>
        </w:rPr>
        <w:t xml:space="preserve">. . . . . . . </w:t>
      </w:r>
      <w:r w:rsidR="00E80747">
        <w:rPr>
          <w:rFonts w:ascii="Calibri" w:hAnsi="Calibri" w:cs="Calibri"/>
          <w:iCs/>
          <w:color w:val="7F7F7F" w:themeColor="text1" w:themeTint="80"/>
          <w:sz w:val="26"/>
          <w:szCs w:val="26"/>
        </w:rPr>
        <w:t xml:space="preserve">. . . . . . . . . . </w:t>
      </w:r>
    </w:p>
    <w:p w:rsidR="00AE3E7D" w:rsidRPr="00BF5CA7" w:rsidRDefault="00AE3E7D" w:rsidP="004B3DFC">
      <w:pPr>
        <w:pStyle w:val="Textoindependiente"/>
        <w:tabs>
          <w:tab w:val="left" w:pos="3594"/>
        </w:tabs>
        <w:rPr>
          <w:rFonts w:ascii="Calibri" w:hAnsi="Calibri" w:cs="Calibri"/>
          <w:iCs/>
          <w:color w:val="7F7F7F" w:themeColor="text1" w:themeTint="80"/>
          <w:sz w:val="26"/>
          <w:szCs w:val="26"/>
        </w:rPr>
      </w:pPr>
    </w:p>
    <w:p w:rsidR="00AB21E4"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Así las cosas, la “</w:t>
      </w:r>
      <w:proofErr w:type="spellStart"/>
      <w:r w:rsidRPr="00BF5CA7">
        <w:rPr>
          <w:rFonts w:ascii="Calibri" w:hAnsi="Calibri" w:cs="Calibri"/>
          <w:color w:val="7F7F7F" w:themeColor="text1" w:themeTint="80"/>
          <w:sz w:val="26"/>
          <w:szCs w:val="26"/>
        </w:rPr>
        <w:t>litis</w:t>
      </w:r>
      <w:proofErr w:type="spellEnd"/>
      <w:r w:rsidRPr="00BF5CA7">
        <w:rPr>
          <w:rFonts w:ascii="Calibri" w:hAnsi="Calibri" w:cs="Calibri"/>
          <w:color w:val="7F7F7F" w:themeColor="text1" w:themeTint="80"/>
          <w:sz w:val="26"/>
          <w:szCs w:val="26"/>
        </w:rPr>
        <w:t>”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814513">
        <w:rPr>
          <w:rFonts w:ascii="Calibri" w:hAnsi="Calibri"/>
          <w:color w:val="7F7F7F" w:themeColor="text1" w:themeTint="80"/>
          <w:sz w:val="26"/>
          <w:szCs w:val="26"/>
        </w:rPr>
        <w:t>14 catorce de mayo</w:t>
      </w:r>
      <w:r w:rsidRPr="00BF5CA7">
        <w:rPr>
          <w:rFonts w:ascii="Calibri" w:hAnsi="Calibri"/>
          <w:color w:val="7F7F7F" w:themeColor="text1" w:themeTint="80"/>
          <w:sz w:val="26"/>
          <w:szCs w:val="26"/>
        </w:rPr>
        <w:t xml:space="preserve"> del año 2015 dos mil quince, emitida dentro del expediente con número </w:t>
      </w:r>
      <w:r w:rsidR="00814513">
        <w:rPr>
          <w:rFonts w:ascii="Calibri" w:hAnsi="Calibri"/>
          <w:color w:val="7F7F7F" w:themeColor="text1" w:themeTint="80"/>
          <w:sz w:val="26"/>
          <w:szCs w:val="26"/>
        </w:rPr>
        <w:t>DGFC/DT/0268/2015/JA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en igual fecha que la orden; así como la procedencia o no del </w:t>
      </w:r>
    </w:p>
    <w:p w:rsidR="00AB21E4" w:rsidRDefault="00AB21E4" w:rsidP="004B3DFC">
      <w:pPr>
        <w:ind w:firstLine="708"/>
        <w:jc w:val="both"/>
        <w:rPr>
          <w:rFonts w:ascii="Calibri" w:hAnsi="Calibri"/>
          <w:color w:val="7F7F7F" w:themeColor="text1" w:themeTint="80"/>
          <w:sz w:val="26"/>
          <w:szCs w:val="26"/>
        </w:rPr>
      </w:pPr>
    </w:p>
    <w:p w:rsidR="00AB21E4" w:rsidRDefault="00AB21E4" w:rsidP="00AB21E4">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452/2015-JN</w:t>
      </w:r>
    </w:p>
    <w:p w:rsidR="00AB21E4" w:rsidRDefault="00AB21E4" w:rsidP="004B3DFC">
      <w:pPr>
        <w:ind w:firstLine="708"/>
        <w:jc w:val="both"/>
        <w:rPr>
          <w:rFonts w:ascii="Calibri" w:hAnsi="Calibri"/>
          <w:color w:val="7F7F7F" w:themeColor="text1" w:themeTint="80"/>
          <w:sz w:val="26"/>
          <w:szCs w:val="26"/>
        </w:rPr>
      </w:pPr>
    </w:p>
    <w:p w:rsidR="004B3DFC" w:rsidRPr="00BF5CA7" w:rsidRDefault="004B3DFC" w:rsidP="00AB21E4">
      <w:pPr>
        <w:jc w:val="both"/>
        <w:rPr>
          <w:rFonts w:ascii="Calibri" w:hAnsi="Calibri"/>
          <w:color w:val="7F7F7F" w:themeColor="text1" w:themeTint="80"/>
          <w:sz w:val="26"/>
          <w:szCs w:val="26"/>
        </w:rPr>
      </w:pPr>
      <w:proofErr w:type="gramStart"/>
      <w:r w:rsidRPr="00BF5CA7">
        <w:rPr>
          <w:rFonts w:ascii="Calibri" w:hAnsi="Calibri"/>
          <w:color w:val="7F7F7F" w:themeColor="text1" w:themeTint="80"/>
          <w:sz w:val="26"/>
          <w:szCs w:val="26"/>
        </w:rPr>
        <w:t>levantamiento</w:t>
      </w:r>
      <w:proofErr w:type="gramEnd"/>
      <w:r w:rsidRPr="00BF5CA7">
        <w:rPr>
          <w:rFonts w:ascii="Calibri" w:hAnsi="Calibri"/>
          <w:color w:val="7F7F7F" w:themeColor="text1" w:themeTint="80"/>
          <w:sz w:val="26"/>
          <w:szCs w:val="26"/>
        </w:rPr>
        <w:t xml:space="preserve">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r w:rsidR="008D4CDE">
        <w:rPr>
          <w:rFonts w:ascii="Calibri" w:hAnsi="Calibri" w:cs="Arial"/>
          <w:color w:val="7F7F7F" w:themeColor="text1" w:themeTint="80"/>
          <w:sz w:val="26"/>
          <w:szCs w:val="26"/>
        </w:rPr>
        <w:t xml:space="preserve">. </w:t>
      </w:r>
    </w:p>
    <w:p w:rsidR="00D77803" w:rsidRDefault="00D77803" w:rsidP="00AB21E4">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Este Juzgador de manera primordial procederá al análisis de los conceptos de impugnación aplicando el principio de mayor consecuencia anulatoria de los actos impugnados y que pudieran traer mayor beneficio a</w:t>
      </w:r>
      <w:r w:rsidR="00114938">
        <w:rPr>
          <w:rFonts w:ascii="Calibri" w:hAnsi="Calibri" w:cs="Calibri"/>
          <w:color w:val="7F7F7F" w:themeColor="text1" w:themeTint="80"/>
          <w:sz w:val="26"/>
          <w:szCs w:val="26"/>
        </w:rPr>
        <w:t xml:space="preserve"> </w:t>
      </w:r>
      <w:r w:rsidRPr="00BF5CA7">
        <w:rPr>
          <w:rFonts w:ascii="Calibri" w:hAnsi="Calibri" w:cs="Calibri"/>
          <w:color w:val="7F7F7F" w:themeColor="text1" w:themeTint="80"/>
          <w:sz w:val="26"/>
          <w:szCs w:val="26"/>
        </w:rPr>
        <w:t>l</w:t>
      </w:r>
      <w:r w:rsidR="00114938">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B82CC3">
        <w:rPr>
          <w:rFonts w:ascii="Calibri" w:hAnsi="Calibri"/>
          <w:color w:val="7F7F7F" w:themeColor="text1" w:themeTint="80"/>
          <w:sz w:val="26"/>
          <w:szCs w:val="26"/>
        </w:rPr>
        <w:t>1 uno</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w:t>
      </w:r>
      <w:r w:rsidRPr="00BF5CA7">
        <w:rPr>
          <w:rFonts w:ascii="Calibri" w:hAnsi="Calibri"/>
          <w:i/>
          <w:iCs/>
          <w:color w:val="7F7F7F" w:themeColor="text1" w:themeTint="80"/>
          <w:sz w:val="26"/>
          <w:szCs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80464C" w:rsidRDefault="004B3DFC" w:rsidP="004B3DFC">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n el señalado concepto de impugnación, l</w:t>
      </w:r>
      <w:r w:rsidR="00B427DE">
        <w:rPr>
          <w:rFonts w:ascii="Calibri" w:hAnsi="Calibri"/>
          <w:color w:val="7F7F7F" w:themeColor="text1" w:themeTint="80"/>
          <w:sz w:val="26"/>
          <w:szCs w:val="26"/>
        </w:rPr>
        <w:t>a</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163E8C">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i/>
          <w:color w:val="7F7F7F" w:themeColor="text1" w:themeTint="80"/>
          <w:sz w:val="22"/>
          <w:szCs w:val="22"/>
        </w:rPr>
      </w:pPr>
    </w:p>
    <w:p w:rsidR="004B3DFC" w:rsidRPr="00E959B2" w:rsidRDefault="004B3DFC" w:rsidP="00E959B2">
      <w:pPr>
        <w:ind w:firstLine="708"/>
        <w:jc w:val="both"/>
        <w:rPr>
          <w:rFonts w:ascii="Calibri" w:hAnsi="Calibri"/>
          <w:i/>
          <w:iCs/>
          <w:color w:val="7F7F7F" w:themeColor="text1" w:themeTint="80"/>
          <w:sz w:val="26"/>
          <w:szCs w:val="26"/>
        </w:rPr>
      </w:pPr>
      <w:r w:rsidRPr="006071F6">
        <w:rPr>
          <w:rFonts w:ascii="Calibri" w:hAnsi="Calibri"/>
          <w:iCs/>
          <w:color w:val="7F7F7F" w:themeColor="text1" w:themeTint="80"/>
          <w:sz w:val="26"/>
          <w:szCs w:val="26"/>
        </w:rPr>
        <w:t xml:space="preserve">A lo antes reseñado, </w:t>
      </w:r>
      <w:r w:rsidR="00E538D7">
        <w:rPr>
          <w:rFonts w:ascii="Calibri" w:hAnsi="Calibri"/>
          <w:iCs/>
          <w:color w:val="7F7F7F" w:themeColor="text1" w:themeTint="80"/>
          <w:sz w:val="26"/>
          <w:szCs w:val="26"/>
        </w:rPr>
        <w:t>el Director demandado</w:t>
      </w:r>
      <w:r w:rsidRPr="006071F6">
        <w:rPr>
          <w:rFonts w:ascii="Calibri" w:hAnsi="Calibri"/>
          <w:iCs/>
          <w:color w:val="7F7F7F" w:themeColor="text1" w:themeTint="80"/>
          <w:sz w:val="26"/>
          <w:szCs w:val="26"/>
        </w:rPr>
        <w:t xml:space="preserve"> expres</w:t>
      </w:r>
      <w:r w:rsidR="00E538D7">
        <w:rPr>
          <w:rFonts w:ascii="Calibri" w:hAnsi="Calibri"/>
          <w:iCs/>
          <w:color w:val="7F7F7F" w:themeColor="text1" w:themeTint="80"/>
          <w:sz w:val="26"/>
          <w:szCs w:val="26"/>
        </w:rPr>
        <w:t>ó</w:t>
      </w:r>
      <w:r w:rsidRPr="006071F6">
        <w:rPr>
          <w:rFonts w:ascii="Calibri" w:hAnsi="Calibri"/>
          <w:iCs/>
          <w:color w:val="7F7F7F" w:themeColor="text1" w:themeTint="80"/>
          <w:sz w:val="26"/>
          <w:szCs w:val="26"/>
        </w:rPr>
        <w:t xml:space="preserve"> </w:t>
      </w:r>
      <w:r w:rsidR="00CF7B38" w:rsidRPr="006071F6">
        <w:rPr>
          <w:rFonts w:ascii="Calibri" w:hAnsi="Calibri"/>
          <w:iCs/>
          <w:color w:val="7F7F7F" w:themeColor="text1" w:themeTint="80"/>
          <w:sz w:val="26"/>
          <w:szCs w:val="26"/>
        </w:rPr>
        <w:t xml:space="preserve">que sí es competente la dependencia para suscribir dicho documento, </w:t>
      </w:r>
      <w:r w:rsidR="00CF7B38" w:rsidRPr="006071F6">
        <w:rPr>
          <w:rFonts w:ascii="Calibri" w:hAnsi="Calibri"/>
          <w:color w:val="7F7F7F" w:themeColor="text1" w:themeTint="80"/>
          <w:sz w:val="26"/>
          <w:szCs w:val="26"/>
        </w:rPr>
        <w:t>al infringir el artículo 67 fracción IX de</w:t>
      </w:r>
      <w:r w:rsidR="00163E8C">
        <w:rPr>
          <w:rFonts w:ascii="Calibri" w:hAnsi="Calibri"/>
          <w:color w:val="7F7F7F" w:themeColor="text1" w:themeTint="80"/>
          <w:sz w:val="26"/>
          <w:szCs w:val="26"/>
        </w:rPr>
        <w:t>l</w:t>
      </w:r>
      <w:r w:rsidR="00CF7B38" w:rsidRPr="006071F6">
        <w:rPr>
          <w:rFonts w:ascii="Calibri" w:hAnsi="Calibri"/>
          <w:color w:val="7F7F7F" w:themeColor="text1" w:themeTint="80"/>
          <w:sz w:val="26"/>
          <w:szCs w:val="26"/>
        </w:rPr>
        <w:t xml:space="preserve"> </w:t>
      </w:r>
      <w:r w:rsidR="00163E8C">
        <w:rPr>
          <w:rFonts w:ascii="Calibri" w:hAnsi="Calibri"/>
          <w:color w:val="7F7F7F" w:themeColor="text1" w:themeTint="80"/>
          <w:sz w:val="26"/>
          <w:szCs w:val="26"/>
        </w:rPr>
        <w:t>Reglamento para el Funcionamiento de Establecimientos Comerciales y de Servicios en el Municipio de León, Guanajuato,</w:t>
      </w:r>
      <w:r w:rsidRPr="006071F6">
        <w:rPr>
          <w:rFonts w:ascii="Calibri" w:hAnsi="Calibri"/>
          <w:i/>
          <w:iCs/>
          <w:color w:val="7F7F7F" w:themeColor="text1" w:themeTint="80"/>
          <w:sz w:val="26"/>
          <w:szCs w:val="26"/>
        </w:rPr>
        <w:t xml:space="preserve">. . . . . . . . . . . . . </w:t>
      </w:r>
      <w:r w:rsidR="00CF7B38" w:rsidRPr="006071F6">
        <w:rPr>
          <w:rFonts w:ascii="Calibri" w:hAnsi="Calibri"/>
          <w:i/>
          <w:iCs/>
          <w:color w:val="7F7F7F" w:themeColor="text1" w:themeTint="80"/>
          <w:sz w:val="26"/>
          <w:szCs w:val="26"/>
        </w:rPr>
        <w:t>. . . . . . . . . . . . .</w:t>
      </w:r>
      <w:r w:rsidR="00CF7B38">
        <w:rPr>
          <w:rFonts w:ascii="Calibri" w:hAnsi="Calibri"/>
          <w:i/>
          <w:iCs/>
          <w:color w:val="7F7F7F" w:themeColor="text1" w:themeTint="80"/>
          <w:sz w:val="26"/>
          <w:szCs w:val="26"/>
        </w:rPr>
        <w:t xml:space="preserve"> </w:t>
      </w:r>
      <w:r w:rsidR="00163E8C">
        <w:rPr>
          <w:rFonts w:ascii="Calibri" w:hAnsi="Calibri"/>
          <w:i/>
          <w:iCs/>
          <w:color w:val="7F7F7F" w:themeColor="text1" w:themeTint="80"/>
          <w:sz w:val="26"/>
          <w:szCs w:val="26"/>
        </w:rPr>
        <w:t>. . . .</w:t>
      </w:r>
    </w:p>
    <w:p w:rsidR="00E959B2" w:rsidRPr="00163E8C" w:rsidRDefault="00E959B2" w:rsidP="00E959B2">
      <w:pPr>
        <w:pStyle w:val="Sangra3detindependiente"/>
        <w:ind w:left="0"/>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163E8C">
        <w:rPr>
          <w:rFonts w:asciiTheme="minorHAnsi" w:hAnsiTheme="minorHAnsi"/>
          <w:color w:val="7F7F7F" w:themeColor="text1" w:themeTint="80"/>
          <w:sz w:val="26"/>
          <w:szCs w:val="26"/>
        </w:rPr>
        <w:t xml:space="preserve">.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 xml:space="preserve">a dicte de acuerdo con esta Ley; pues ello se entiende en virtud de la colaboración solicitada por dicha dependencia, y no por iniciativa propia; como ocurre en el caso en concreto. . . . . . . . . . . . . . . . </w:t>
      </w:r>
      <w:r w:rsidR="00163E8C">
        <w:rPr>
          <w:rFonts w:asciiTheme="minorHAnsi" w:hAnsiTheme="minorHAnsi"/>
          <w:color w:val="7F7F7F" w:themeColor="text1" w:themeTint="80"/>
          <w:sz w:val="26"/>
          <w:szCs w:val="26"/>
        </w:rPr>
        <w:t xml:space="preserve">. . . . . .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lastRenderedPageBreak/>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163E8C" w:rsidRDefault="00706056" w:rsidP="00A8545F">
      <w:pPr>
        <w:pStyle w:val="Default"/>
        <w:ind w:firstLine="708"/>
        <w:jc w:val="both"/>
        <w:rPr>
          <w:rFonts w:ascii="Calibri" w:hAnsi="Calibri" w:cs="Calibri"/>
          <w:bCs/>
          <w:iCs/>
          <w:color w:val="767171" w:themeColor="background2" w:themeShade="8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xml:space="preserve">, salvo que existiera una convenio de coordinación y </w:t>
      </w:r>
    </w:p>
    <w:p w:rsidR="00163E8C" w:rsidRDefault="00163E8C" w:rsidP="00163E8C">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452/2015-JN</w:t>
      </w:r>
    </w:p>
    <w:p w:rsidR="00163E8C" w:rsidRDefault="00163E8C" w:rsidP="00A8545F">
      <w:pPr>
        <w:pStyle w:val="Default"/>
        <w:ind w:firstLine="708"/>
        <w:jc w:val="both"/>
        <w:rPr>
          <w:rFonts w:ascii="Calibri" w:hAnsi="Calibri" w:cs="Calibri"/>
          <w:bCs/>
          <w:iCs/>
          <w:color w:val="767171" w:themeColor="background2" w:themeShade="80"/>
          <w:sz w:val="26"/>
          <w:szCs w:val="26"/>
        </w:rPr>
      </w:pPr>
    </w:p>
    <w:p w:rsidR="00343E70" w:rsidRPr="00A8545F" w:rsidRDefault="00706056" w:rsidP="00163E8C">
      <w:pPr>
        <w:pStyle w:val="Default"/>
        <w:jc w:val="both"/>
        <w:rPr>
          <w:rFonts w:asciiTheme="minorHAnsi" w:hAnsiTheme="minorHAnsi"/>
          <w:color w:val="FF0000"/>
          <w:sz w:val="26"/>
          <w:szCs w:val="26"/>
        </w:rPr>
      </w:pPr>
      <w:proofErr w:type="gramStart"/>
      <w:r w:rsidRPr="00833B37">
        <w:rPr>
          <w:rFonts w:ascii="Calibri" w:hAnsi="Calibri" w:cs="Calibri"/>
          <w:bCs/>
          <w:iCs/>
          <w:color w:val="767171" w:themeColor="background2" w:themeShade="80"/>
          <w:sz w:val="26"/>
          <w:szCs w:val="26"/>
        </w:rPr>
        <w:t>colaboración</w:t>
      </w:r>
      <w:proofErr w:type="gramEnd"/>
      <w:r w:rsidRPr="00833B37">
        <w:rPr>
          <w:rFonts w:ascii="Calibri" w:hAnsi="Calibri" w:cs="Calibri"/>
          <w:bCs/>
          <w:iCs/>
          <w:color w:val="767171" w:themeColor="background2" w:themeShade="80"/>
          <w:sz w:val="26"/>
          <w:szCs w:val="26"/>
        </w:rPr>
        <w:t>,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w:t>
      </w:r>
      <w:r w:rsidR="00DB641E">
        <w:rPr>
          <w:rFonts w:ascii="Calibri" w:hAnsi="Calibri" w:cs="Calibri"/>
          <w:bCs/>
          <w:iCs/>
          <w:color w:val="7F7F7F" w:themeColor="text1" w:themeTint="80"/>
          <w:sz w:val="26"/>
          <w:szCs w:val="26"/>
        </w:rPr>
        <w:lastRenderedPageBreak/>
        <w:t>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163E8C">
        <w:rPr>
          <w:rFonts w:ascii="Calibri" w:hAnsi="Calibri" w:cs="Calibri"/>
          <w:bCs/>
          <w:iCs/>
          <w:color w:val="7F7F7F" w:themeColor="text1" w:themeTint="80"/>
          <w:sz w:val="26"/>
          <w:szCs w:val="26"/>
        </w:rPr>
        <w:t>. . . . . . . . . . . . . . . . . . . . . . . . . . . . . . . . . . . . .</w:t>
      </w:r>
    </w:p>
    <w:p w:rsidR="00833B37" w:rsidRDefault="00833B37" w:rsidP="00562A66">
      <w:pPr>
        <w:pStyle w:val="CABEZAS"/>
        <w:tabs>
          <w:tab w:val="left" w:pos="1134"/>
        </w:tabs>
        <w:jc w:val="both"/>
        <w:rPr>
          <w:rFonts w:ascii="Calibri" w:hAnsi="Calibri" w:cs="Calibri"/>
          <w:b w:val="0"/>
          <w:iCs/>
          <w:color w:val="7F7F7F" w:themeColor="text1" w:themeTint="80"/>
          <w:sz w:val="26"/>
          <w:szCs w:val="26"/>
          <w:lang w:val="es-ES"/>
        </w:rPr>
      </w:pPr>
    </w:p>
    <w:p w:rsidR="009E15DC" w:rsidRPr="00562A66" w:rsidRDefault="00833B37" w:rsidP="00562A66">
      <w:pPr>
        <w:pStyle w:val="CABEZAS"/>
        <w:tabs>
          <w:tab w:val="left" w:pos="1134"/>
        </w:tabs>
        <w:jc w:val="both"/>
        <w:rPr>
          <w:rFonts w:ascii="Calibri" w:hAnsi="Calibri" w:cs="Calibri"/>
          <w:bCs w:val="0"/>
          <w:iCs/>
          <w:color w:val="7F7F7F" w:themeColor="text1" w:themeTint="80"/>
          <w:sz w:val="26"/>
          <w:szCs w:val="26"/>
          <w:lang w:val="es-MX"/>
        </w:rPr>
      </w:pPr>
      <w:r>
        <w:rPr>
          <w:rFonts w:ascii="Calibri" w:hAnsi="Calibri" w:cs="Calibri"/>
          <w:bCs w:val="0"/>
          <w:iCs/>
          <w:color w:val="7F7F7F" w:themeColor="text1" w:themeTint="80"/>
          <w:sz w:val="26"/>
          <w:szCs w:val="26"/>
          <w:lang w:val="es-ES"/>
        </w:rPr>
        <w:t xml:space="preserve">             </w:t>
      </w:r>
      <w:r w:rsidR="009E15DC" w:rsidRPr="00562A66">
        <w:rPr>
          <w:rFonts w:ascii="Calibri" w:hAnsi="Calibri" w:cs="Calibri"/>
          <w:b w:val="0"/>
          <w:bCs w:val="0"/>
          <w:iCs/>
          <w:color w:val="7F7F7F" w:themeColor="text1" w:themeTint="80"/>
          <w:sz w:val="26"/>
          <w:szCs w:val="26"/>
          <w:lang w:val="es-MX"/>
        </w:rPr>
        <w:t>Por l</w:t>
      </w:r>
      <w:r w:rsidR="00E538D7">
        <w:rPr>
          <w:rFonts w:ascii="Calibri" w:hAnsi="Calibri" w:cs="Calibri"/>
          <w:b w:val="0"/>
          <w:bCs w:val="0"/>
          <w:iCs/>
          <w:color w:val="7F7F7F" w:themeColor="text1" w:themeTint="80"/>
          <w:sz w:val="26"/>
          <w:szCs w:val="26"/>
          <w:lang w:val="es-MX"/>
        </w:rPr>
        <w:t>o que hace a lo señalado por Director enjuiciado,</w:t>
      </w:r>
      <w:r w:rsidR="009E15DC" w:rsidRPr="00562A66">
        <w:rPr>
          <w:rFonts w:ascii="Calibri" w:hAnsi="Calibri" w:cs="Calibri"/>
          <w:b w:val="0"/>
          <w:bCs w:val="0"/>
          <w:iCs/>
          <w:color w:val="7F7F7F" w:themeColor="text1" w:themeTint="80"/>
          <w:sz w:val="26"/>
          <w:szCs w:val="26"/>
          <w:lang w:val="es-MX"/>
        </w:rPr>
        <w:t xml:space="preserve"> en su escrito de contestación de demanda, en </w:t>
      </w:r>
      <w:r w:rsidR="00E538D7">
        <w:rPr>
          <w:rFonts w:ascii="Calibri" w:hAnsi="Calibri" w:cs="Calibri"/>
          <w:b w:val="0"/>
          <w:bCs w:val="0"/>
          <w:iCs/>
          <w:color w:val="7F7F7F" w:themeColor="text1" w:themeTint="80"/>
          <w:sz w:val="26"/>
          <w:szCs w:val="26"/>
          <w:lang w:val="es-MX"/>
        </w:rPr>
        <w:t>el</w:t>
      </w:r>
      <w:r w:rsidR="009E15DC" w:rsidRPr="00562A66">
        <w:rPr>
          <w:rFonts w:ascii="Calibri" w:hAnsi="Calibri" w:cs="Calibri"/>
          <w:b w:val="0"/>
          <w:bCs w:val="0"/>
          <w:iCs/>
          <w:color w:val="7F7F7F" w:themeColor="text1" w:themeTint="80"/>
          <w:sz w:val="26"/>
          <w:szCs w:val="26"/>
          <w:lang w:val="es-MX"/>
        </w:rPr>
        <w:t xml:space="preserve"> que señal</w:t>
      </w:r>
      <w:r w:rsidR="00E538D7">
        <w:rPr>
          <w:rFonts w:ascii="Calibri" w:hAnsi="Calibri" w:cs="Calibri"/>
          <w:b w:val="0"/>
          <w:bCs w:val="0"/>
          <w:iCs/>
          <w:color w:val="7F7F7F" w:themeColor="text1" w:themeTint="80"/>
          <w:sz w:val="26"/>
          <w:szCs w:val="26"/>
          <w:lang w:val="es-MX"/>
        </w:rPr>
        <w:t>ó</w:t>
      </w:r>
      <w:r w:rsidR="009E15DC" w:rsidRPr="00562A66">
        <w:rPr>
          <w:rFonts w:ascii="Calibri" w:hAnsi="Calibri" w:cs="Calibri"/>
          <w:b w:val="0"/>
          <w:bCs w:val="0"/>
          <w:iCs/>
          <w:color w:val="7F7F7F" w:themeColor="text1" w:themeTint="80"/>
          <w:sz w:val="26"/>
          <w:szCs w:val="26"/>
          <w:lang w:val="es-MX"/>
        </w:rPr>
        <w:t xml:space="preserve"> que la Dirección General de Fiscalizaci</w:t>
      </w:r>
      <w:r w:rsidR="00B62D66" w:rsidRPr="00562A66">
        <w:rPr>
          <w:rFonts w:ascii="Calibri" w:hAnsi="Calibri" w:cs="Calibri"/>
          <w:b w:val="0"/>
          <w:bCs w:val="0"/>
          <w:iCs/>
          <w:color w:val="7F7F7F" w:themeColor="text1" w:themeTint="80"/>
          <w:sz w:val="26"/>
          <w:szCs w:val="26"/>
          <w:lang w:val="es-MX"/>
        </w:rPr>
        <w:t>ón y Control, cuenta con</w:t>
      </w:r>
      <w:r w:rsidR="00C464F2"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la atribución de ordenar la práctica de visitas de inspección</w:t>
      </w:r>
      <w:r w:rsidR="003F55B8">
        <w:rPr>
          <w:rFonts w:ascii="Calibri" w:hAnsi="Calibri" w:cs="Calibri"/>
          <w:b w:val="0"/>
          <w:bCs w:val="0"/>
          <w:iCs/>
          <w:color w:val="7F7F7F" w:themeColor="text1" w:themeTint="80"/>
          <w:sz w:val="26"/>
          <w:szCs w:val="26"/>
          <w:lang w:val="es-MX"/>
        </w:rPr>
        <w:t>;</w:t>
      </w:r>
      <w:r w:rsidR="005D15CD" w:rsidRPr="00562A66">
        <w:rPr>
          <w:rFonts w:ascii="Calibri" w:hAnsi="Calibri" w:cs="Calibri"/>
          <w:b w:val="0"/>
          <w:bCs w:val="0"/>
          <w:iCs/>
          <w:color w:val="7F7F7F" w:themeColor="text1" w:themeTint="80"/>
          <w:sz w:val="26"/>
          <w:szCs w:val="26"/>
          <w:lang w:val="es-MX"/>
        </w:rPr>
        <w:t xml:space="preserve"> </w:t>
      </w:r>
      <w:r w:rsidR="003F55B8">
        <w:rPr>
          <w:rFonts w:ascii="Calibri" w:hAnsi="Calibri" w:cs="Calibri"/>
          <w:b w:val="0"/>
          <w:bCs w:val="0"/>
          <w:iCs/>
          <w:color w:val="7F7F7F" w:themeColor="text1" w:themeTint="80"/>
          <w:sz w:val="26"/>
          <w:szCs w:val="26"/>
          <w:lang w:val="es-MX"/>
        </w:rPr>
        <w:t>debe decirse que l</w:t>
      </w:r>
      <w:r w:rsidR="005D15CD" w:rsidRPr="00562A66">
        <w:rPr>
          <w:rFonts w:ascii="Calibri" w:hAnsi="Calibri" w:cs="Calibri"/>
          <w:b w:val="0"/>
          <w:bCs w:val="0"/>
          <w:iCs/>
          <w:color w:val="7F7F7F" w:themeColor="text1" w:themeTint="80"/>
          <w:sz w:val="26"/>
          <w:szCs w:val="26"/>
          <w:lang w:val="es-MX"/>
        </w:rPr>
        <w:t>os artículos 30</w:t>
      </w:r>
      <w:r w:rsidR="00B62D66" w:rsidRPr="00562A66">
        <w:rPr>
          <w:rFonts w:ascii="Calibri" w:hAnsi="Calibri" w:cs="Calibri"/>
          <w:b w:val="0"/>
          <w:bCs w:val="0"/>
          <w:iCs/>
          <w:color w:val="7F7F7F" w:themeColor="text1" w:themeTint="80"/>
          <w:sz w:val="26"/>
          <w:szCs w:val="26"/>
          <w:lang w:val="es-MX"/>
        </w:rPr>
        <w:t xml:space="preserve"> </w:t>
      </w:r>
      <w:r w:rsidR="005D15CD" w:rsidRPr="00562A66">
        <w:rPr>
          <w:rFonts w:ascii="Calibri" w:hAnsi="Calibri" w:cs="Calibri"/>
          <w:b w:val="0"/>
          <w:bCs w:val="0"/>
          <w:iCs/>
          <w:color w:val="7F7F7F" w:themeColor="text1" w:themeTint="80"/>
          <w:sz w:val="26"/>
          <w:szCs w:val="26"/>
          <w:lang w:val="es-MX"/>
        </w:rPr>
        <w:t>y 31 del Reglamento para el funcionamiento de Establecimientos Comerciales y de servicios en el Municipio de León, Guanajuato</w:t>
      </w:r>
      <w:r w:rsidR="00562A66" w:rsidRPr="00562A66">
        <w:rPr>
          <w:rFonts w:ascii="Calibri" w:hAnsi="Calibri" w:cs="Calibri"/>
          <w:b w:val="0"/>
          <w:bCs w:val="0"/>
          <w:iCs/>
          <w:color w:val="7F7F7F" w:themeColor="text1" w:themeTint="80"/>
          <w:sz w:val="26"/>
          <w:szCs w:val="26"/>
          <w:lang w:val="es-MX"/>
        </w:rPr>
        <w:t xml:space="preserve"> no resultan aplicables al caso concreto, puest</w:t>
      </w:r>
      <w:r w:rsidR="00562A66">
        <w:rPr>
          <w:rFonts w:ascii="Calibri" w:hAnsi="Calibri" w:cs="Calibri"/>
          <w:b w:val="0"/>
          <w:bCs w:val="0"/>
          <w:iCs/>
          <w:color w:val="7F7F7F" w:themeColor="text1" w:themeTint="80"/>
          <w:sz w:val="26"/>
          <w:szCs w:val="26"/>
          <w:lang w:val="es-MX"/>
        </w:rPr>
        <w:t xml:space="preserve">o que los mismos se refieren a los establecimientos comerciales y de servicios con venta de bebidas alcohólicas, esto es, a los contenidos en el Título Segundo del Reglamento citado; siendo evidente que no se trata del supuesto que se ventila en el presente asunto, que se refiere a </w:t>
      </w:r>
      <w:r w:rsidR="00FE6FD0">
        <w:rPr>
          <w:rFonts w:ascii="Calibri" w:hAnsi="Calibri" w:cs="Calibri"/>
          <w:b w:val="0"/>
          <w:bCs w:val="0"/>
          <w:iCs/>
          <w:color w:val="7F7F7F" w:themeColor="text1" w:themeTint="80"/>
          <w:sz w:val="26"/>
          <w:szCs w:val="26"/>
          <w:lang w:val="es-MX"/>
        </w:rPr>
        <w:t>un local comercial</w:t>
      </w:r>
      <w:r w:rsidR="00981D66">
        <w:rPr>
          <w:rFonts w:ascii="Calibri" w:hAnsi="Calibri" w:cs="Calibri"/>
          <w:b w:val="0"/>
          <w:bCs w:val="0"/>
          <w:iCs/>
          <w:color w:val="7F7F7F" w:themeColor="text1" w:themeTint="80"/>
          <w:sz w:val="26"/>
          <w:szCs w:val="26"/>
          <w:lang w:val="es-MX"/>
        </w:rPr>
        <w:t xml:space="preserve"> </w:t>
      </w:r>
      <w:r w:rsidR="00562A66">
        <w:rPr>
          <w:rFonts w:ascii="Calibri" w:hAnsi="Calibri" w:cs="Calibri"/>
          <w:b w:val="0"/>
          <w:bCs w:val="0"/>
          <w:iCs/>
          <w:color w:val="7F7F7F" w:themeColor="text1" w:themeTint="80"/>
          <w:sz w:val="26"/>
          <w:szCs w:val="26"/>
          <w:lang w:val="es-MX"/>
        </w:rPr>
        <w:t xml:space="preserve">en </w:t>
      </w:r>
      <w:r w:rsidR="00FE6FD0">
        <w:rPr>
          <w:rFonts w:ascii="Calibri" w:hAnsi="Calibri" w:cs="Calibri"/>
          <w:b w:val="0"/>
          <w:bCs w:val="0"/>
          <w:iCs/>
          <w:color w:val="7F7F7F" w:themeColor="text1" w:themeTint="80"/>
          <w:sz w:val="26"/>
          <w:szCs w:val="26"/>
          <w:lang w:val="es-MX"/>
        </w:rPr>
        <w:t>el</w:t>
      </w:r>
      <w:r w:rsidR="00562A66">
        <w:rPr>
          <w:rFonts w:ascii="Calibri" w:hAnsi="Calibri" w:cs="Calibri"/>
          <w:b w:val="0"/>
          <w:bCs w:val="0"/>
          <w:iCs/>
          <w:color w:val="7F7F7F" w:themeColor="text1" w:themeTint="80"/>
          <w:sz w:val="26"/>
          <w:szCs w:val="26"/>
          <w:lang w:val="es-MX"/>
        </w:rPr>
        <w:t xml:space="preserve"> que existe una máquina</w:t>
      </w:r>
      <w:r w:rsidR="00363074">
        <w:rPr>
          <w:rFonts w:ascii="Calibri" w:hAnsi="Calibri" w:cs="Calibri"/>
          <w:b w:val="0"/>
          <w:bCs w:val="0"/>
          <w:iCs/>
          <w:color w:val="7F7F7F" w:themeColor="text1" w:themeTint="80"/>
          <w:sz w:val="26"/>
          <w:szCs w:val="26"/>
          <w:lang w:val="es-MX"/>
        </w:rPr>
        <w:t xml:space="preserve"> electrónica de las conocidas como tragamonedas. . . . . . . . . . . . . . </w:t>
      </w:r>
      <w:r w:rsidR="003F55B8">
        <w:rPr>
          <w:rFonts w:ascii="Calibri" w:hAnsi="Calibri" w:cs="Calibri"/>
          <w:b w:val="0"/>
          <w:bCs w:val="0"/>
          <w:iCs/>
          <w:color w:val="7F7F7F" w:themeColor="text1" w:themeTint="80"/>
          <w:sz w:val="26"/>
          <w:szCs w:val="26"/>
          <w:lang w:val="es-MX"/>
        </w:rPr>
        <w:t xml:space="preserve">. . . . . . </w:t>
      </w:r>
    </w:p>
    <w:p w:rsidR="009E15DC" w:rsidRPr="00AC308A" w:rsidRDefault="009E15DC" w:rsidP="00C46636">
      <w:pPr>
        <w:jc w:val="both"/>
        <w:rPr>
          <w:rFonts w:ascii="Calibri" w:hAnsi="Calibri" w:cs="Calibri"/>
          <w:bCs/>
          <w:iCs/>
          <w:color w:val="767171" w:themeColor="background2" w:themeShade="80"/>
          <w:sz w:val="26"/>
          <w:szCs w:val="26"/>
          <w:lang w:val="es-MX"/>
        </w:rPr>
      </w:pPr>
    </w:p>
    <w:p w:rsidR="00AC308A" w:rsidRPr="00AC308A" w:rsidRDefault="00AC308A" w:rsidP="00AC308A">
      <w:pPr>
        <w:ind w:firstLine="708"/>
        <w:jc w:val="both"/>
        <w:rPr>
          <w:rFonts w:asciiTheme="minorHAnsi" w:hAnsiTheme="minorHAnsi" w:cs="Arial"/>
          <w:color w:val="767171" w:themeColor="background2" w:themeShade="80"/>
          <w:sz w:val="26"/>
          <w:szCs w:val="26"/>
          <w:lang w:val="es-MX" w:eastAsia="en-US"/>
        </w:rPr>
      </w:pPr>
      <w:r w:rsidRPr="00AC308A">
        <w:rPr>
          <w:rFonts w:asciiTheme="minorHAnsi" w:hAnsiTheme="minorHAnsi" w:cs="Arial"/>
          <w:color w:val="767171" w:themeColor="background2" w:themeShade="80"/>
          <w:sz w:val="26"/>
          <w:szCs w:val="26"/>
          <w:lang w:val="es-MX" w:eastAsia="en-US"/>
        </w:rPr>
        <w:t>Asimismo, el Artículo 39 del Reglamento Interior de la Administración Pública Municipal de León, Guanajuato establece que</w:t>
      </w:r>
      <w:r w:rsidRPr="00AC308A">
        <w:rPr>
          <w:rFonts w:asciiTheme="minorHAnsi" w:hAnsiTheme="minorHAnsi" w:cs="Arial"/>
          <w:b/>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 xml:space="preserve">a Dirección General de Fiscalización y Control tiene a su cargo la aplicación, en la forma y términos que se establezcan en los mismos, de los </w:t>
      </w:r>
      <w:r>
        <w:rPr>
          <w:rFonts w:asciiTheme="minorHAnsi" w:hAnsiTheme="minorHAnsi" w:cs="Arial"/>
          <w:color w:val="767171" w:themeColor="background2" w:themeShade="80"/>
          <w:sz w:val="26"/>
          <w:szCs w:val="26"/>
          <w:lang w:val="es-MX" w:eastAsia="en-US"/>
        </w:rPr>
        <w:t xml:space="preserve">reglamentos municipales en materia de </w:t>
      </w:r>
      <w:r w:rsidRPr="00AC308A">
        <w:rPr>
          <w:rFonts w:asciiTheme="minorHAnsi" w:hAnsiTheme="minorHAnsi" w:cs="Arial"/>
          <w:color w:val="767171" w:themeColor="background2" w:themeShade="80"/>
          <w:sz w:val="26"/>
          <w:szCs w:val="26"/>
          <w:lang w:val="es-MX" w:eastAsia="en-US"/>
        </w:rPr>
        <w:t>Funcionamiento de Establecimie</w:t>
      </w:r>
      <w:r>
        <w:rPr>
          <w:rFonts w:asciiTheme="minorHAnsi" w:hAnsiTheme="minorHAnsi" w:cs="Arial"/>
          <w:color w:val="767171" w:themeColor="background2" w:themeShade="80"/>
          <w:sz w:val="26"/>
          <w:szCs w:val="26"/>
          <w:lang w:val="es-MX" w:eastAsia="en-US"/>
        </w:rPr>
        <w:t xml:space="preserve">ntos Comerciales y de Servicios; </w:t>
      </w:r>
      <w:r w:rsidRPr="00AC308A">
        <w:rPr>
          <w:rFonts w:asciiTheme="minorHAnsi" w:hAnsiTheme="minorHAnsi" w:cs="Arial"/>
          <w:color w:val="767171" w:themeColor="background2" w:themeShade="80"/>
          <w:sz w:val="26"/>
          <w:szCs w:val="26"/>
          <w:lang w:val="es-MX" w:eastAsia="en-US"/>
        </w:rPr>
        <w:t>Espectáculos y Festejos Públicos;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Espectáculos Taurinos;</w:t>
      </w:r>
      <w:r>
        <w:rPr>
          <w:rFonts w:asciiTheme="minorHAnsi" w:hAnsiTheme="minorHAnsi" w:cs="Arial"/>
          <w:color w:val="767171" w:themeColor="background2" w:themeShade="80"/>
          <w:sz w:val="26"/>
          <w:szCs w:val="26"/>
          <w:lang w:val="es-MX" w:eastAsia="en-US"/>
        </w:rPr>
        <w:t xml:space="preserve"> </w:t>
      </w:r>
      <w:r w:rsidRPr="00AC308A">
        <w:rPr>
          <w:rFonts w:asciiTheme="minorHAnsi" w:hAnsiTheme="minorHAnsi" w:cs="Arial"/>
          <w:color w:val="767171" w:themeColor="background2" w:themeShade="80"/>
          <w:sz w:val="26"/>
          <w:szCs w:val="26"/>
          <w:lang w:val="es-MX" w:eastAsia="en-US"/>
        </w:rPr>
        <w:t>Estacionamientos Públicos; y</w:t>
      </w:r>
      <w:r>
        <w:rPr>
          <w:rFonts w:asciiTheme="minorHAnsi" w:hAnsiTheme="minorHAnsi" w:cs="Arial"/>
          <w:color w:val="767171" w:themeColor="background2" w:themeShade="80"/>
          <w:sz w:val="26"/>
          <w:szCs w:val="26"/>
          <w:lang w:val="es-MX" w:eastAsia="en-US"/>
        </w:rPr>
        <w:t xml:space="preserve"> l</w:t>
      </w:r>
      <w:r w:rsidRPr="00AC308A">
        <w:rPr>
          <w:rFonts w:asciiTheme="minorHAnsi" w:hAnsiTheme="minorHAnsi" w:cs="Arial"/>
          <w:color w:val="767171" w:themeColor="background2" w:themeShade="80"/>
          <w:sz w:val="26"/>
          <w:szCs w:val="26"/>
          <w:lang w:val="es-MX" w:eastAsia="en-US"/>
        </w:rPr>
        <w:t>os demás en los que expresamente se le señale alguna atribución.</w:t>
      </w:r>
      <w:r>
        <w:rPr>
          <w:rFonts w:asciiTheme="minorHAnsi" w:hAnsiTheme="minorHAnsi" w:cs="Arial"/>
          <w:color w:val="767171" w:themeColor="background2" w:themeShade="80"/>
          <w:sz w:val="26"/>
          <w:szCs w:val="26"/>
          <w:lang w:val="es-MX" w:eastAsia="en-US"/>
        </w:rPr>
        <w:t xml:space="preserve">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t>Ahora bien, las atribuciones de la dependencia en cuestión, de acuerdo a lo que se desprende del propio Reglamento de Establecimientos comerciales y de servicios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 . . . . . . . . . . . . . . . . . . . . . . . . . . . . . . . </w:t>
      </w:r>
      <w:r w:rsidR="00D61484">
        <w:rPr>
          <w:rFonts w:asciiTheme="minorHAnsi" w:hAnsiTheme="minorHAnsi" w:cs="Arial"/>
          <w:b w:val="0"/>
          <w:color w:val="767171" w:themeColor="background2" w:themeShade="80"/>
          <w:sz w:val="26"/>
          <w:szCs w:val="26"/>
          <w:lang w:val="es-MX"/>
        </w:rPr>
        <w:t>. . . . . . . . . . . . . . .</w:t>
      </w:r>
    </w:p>
    <w:p w:rsidR="003D0B6B" w:rsidRPr="00363074" w:rsidRDefault="003D0B6B" w:rsidP="00C46636">
      <w:pPr>
        <w:jc w:val="both"/>
        <w:rPr>
          <w:rFonts w:ascii="Calibri" w:hAnsi="Calibri" w:cs="Calibri"/>
          <w:bCs/>
          <w:iCs/>
          <w:color w:val="7F7F7F" w:themeColor="text1" w:themeTint="80"/>
          <w:sz w:val="26"/>
          <w:szCs w:val="26"/>
          <w:lang w:val="es-MX"/>
        </w:rPr>
      </w:pPr>
    </w:p>
    <w:p w:rsidR="00FA04C4" w:rsidRDefault="00343E70" w:rsidP="006E5AA9">
      <w:pPr>
        <w:ind w:firstLine="708"/>
        <w:jc w:val="both"/>
        <w:rPr>
          <w:rFonts w:ascii="Calibri" w:hAnsi="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l</w:t>
      </w:r>
      <w:r w:rsidR="006E5AA9" w:rsidRPr="00BF5CA7">
        <w:rPr>
          <w:rFonts w:ascii="Calibri" w:hAnsi="Calibri"/>
          <w:color w:val="7F7F7F" w:themeColor="text1" w:themeTint="80"/>
          <w:sz w:val="26"/>
          <w:szCs w:val="26"/>
        </w:rPr>
        <w:t xml:space="preserve">a </w:t>
      </w:r>
      <w:r w:rsidR="006E5AA9" w:rsidRPr="00F54858">
        <w:rPr>
          <w:rFonts w:ascii="Calibri" w:hAnsi="Calibri"/>
          <w:b/>
          <w:color w:val="7F7F7F" w:themeColor="text1" w:themeTint="80"/>
          <w:sz w:val="26"/>
          <w:szCs w:val="26"/>
        </w:rPr>
        <w:t>orden de visita de inspección</w:t>
      </w:r>
      <w:r w:rsidR="006E5AA9" w:rsidRPr="00BF5CA7">
        <w:rPr>
          <w:rFonts w:ascii="Calibri" w:hAnsi="Calibri"/>
          <w:color w:val="7F7F7F" w:themeColor="text1" w:themeTint="80"/>
          <w:sz w:val="26"/>
          <w:szCs w:val="26"/>
        </w:rPr>
        <w:t xml:space="preserve">, de fecha </w:t>
      </w:r>
      <w:r w:rsidR="00814513">
        <w:rPr>
          <w:rFonts w:ascii="Calibri" w:hAnsi="Calibri"/>
          <w:b/>
          <w:color w:val="7F7F7F" w:themeColor="text1" w:themeTint="80"/>
          <w:sz w:val="26"/>
          <w:szCs w:val="26"/>
        </w:rPr>
        <w:t xml:space="preserve">14 </w:t>
      </w:r>
      <w:r w:rsidR="00814513" w:rsidRPr="00E538D7">
        <w:rPr>
          <w:rFonts w:ascii="Calibri" w:hAnsi="Calibri"/>
          <w:color w:val="7F7F7F" w:themeColor="text1" w:themeTint="80"/>
          <w:sz w:val="26"/>
          <w:szCs w:val="26"/>
        </w:rPr>
        <w:t>catorce de</w:t>
      </w:r>
      <w:r w:rsidR="00814513">
        <w:rPr>
          <w:rFonts w:ascii="Calibri" w:hAnsi="Calibri"/>
          <w:b/>
          <w:color w:val="7F7F7F" w:themeColor="text1" w:themeTint="80"/>
          <w:sz w:val="26"/>
          <w:szCs w:val="26"/>
        </w:rPr>
        <w:t xml:space="preserve"> mayo</w:t>
      </w:r>
      <w:r w:rsidR="006E5AA9" w:rsidRPr="00BF5CA7">
        <w:rPr>
          <w:rFonts w:ascii="Calibri" w:hAnsi="Calibri"/>
          <w:color w:val="7F7F7F" w:themeColor="text1" w:themeTint="80"/>
          <w:sz w:val="26"/>
          <w:szCs w:val="26"/>
        </w:rPr>
        <w:t xml:space="preserve"> del año </w:t>
      </w:r>
      <w:r w:rsidR="006E5AA9" w:rsidRPr="00F54858">
        <w:rPr>
          <w:rFonts w:ascii="Calibri" w:hAnsi="Calibri"/>
          <w:b/>
          <w:color w:val="7F7F7F" w:themeColor="text1" w:themeTint="80"/>
          <w:sz w:val="26"/>
          <w:szCs w:val="26"/>
        </w:rPr>
        <w:t>2015</w:t>
      </w:r>
      <w:r w:rsidR="006E5AA9"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1D2D49">
        <w:rPr>
          <w:rFonts w:ascii="Calibri" w:hAnsi="Calibri"/>
          <w:b/>
          <w:color w:val="7F7F7F" w:themeColor="text1" w:themeTint="80"/>
          <w:sz w:val="26"/>
          <w:szCs w:val="26"/>
        </w:rPr>
        <w:t>0</w:t>
      </w:r>
      <w:r w:rsidR="00B85D1C">
        <w:rPr>
          <w:rFonts w:ascii="Calibri" w:hAnsi="Calibri"/>
          <w:b/>
          <w:color w:val="7F7F7F" w:themeColor="text1" w:themeTint="80"/>
          <w:sz w:val="26"/>
          <w:szCs w:val="26"/>
        </w:rPr>
        <w:t>268</w:t>
      </w:r>
      <w:r w:rsidR="00A57007" w:rsidRPr="00F54858">
        <w:rPr>
          <w:rFonts w:ascii="Calibri" w:hAnsi="Calibri"/>
          <w:b/>
          <w:color w:val="7F7F7F" w:themeColor="text1" w:themeTint="80"/>
          <w:sz w:val="26"/>
          <w:szCs w:val="26"/>
        </w:rPr>
        <w:t>/2015</w:t>
      </w:r>
      <w:r w:rsidR="00B85D1C">
        <w:rPr>
          <w:rFonts w:ascii="Calibri" w:hAnsi="Calibri"/>
          <w:b/>
          <w:color w:val="7F7F7F" w:themeColor="text1" w:themeTint="80"/>
          <w:sz w:val="26"/>
          <w:szCs w:val="26"/>
        </w:rPr>
        <w:t>/</w:t>
      </w:r>
      <w:r w:rsidR="00A57007" w:rsidRPr="00F54858">
        <w:rPr>
          <w:rFonts w:ascii="Calibri" w:hAnsi="Calibri"/>
          <w:b/>
          <w:color w:val="7F7F7F" w:themeColor="text1" w:themeTint="80"/>
          <w:sz w:val="26"/>
          <w:szCs w:val="26"/>
        </w:rPr>
        <w:t>JA</w:t>
      </w:r>
      <w:r w:rsidR="006E5AA9" w:rsidRPr="00BF5CA7">
        <w:rPr>
          <w:rFonts w:ascii="Calibri" w:hAnsi="Calibri"/>
          <w:color w:val="7F7F7F" w:themeColor="text1" w:themeTint="80"/>
          <w:sz w:val="26"/>
          <w:szCs w:val="26"/>
        </w:rPr>
        <w:t xml:space="preserve">; </w:t>
      </w:r>
      <w:r w:rsidR="006E5AA9">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sidR="006E5AA9">
        <w:rPr>
          <w:rFonts w:ascii="Calibri" w:hAnsi="Calibri"/>
          <w:color w:val="7F7F7F" w:themeColor="text1" w:themeTint="80"/>
          <w:sz w:val="26"/>
          <w:szCs w:val="26"/>
        </w:rPr>
        <w:t xml:space="preserve"> la </w:t>
      </w:r>
      <w:r w:rsidR="006E5AA9" w:rsidRPr="006E5AA9">
        <w:rPr>
          <w:rFonts w:ascii="Calibri" w:hAnsi="Calibri"/>
          <w:b/>
          <w:color w:val="7F7F7F" w:themeColor="text1" w:themeTint="80"/>
          <w:sz w:val="26"/>
          <w:szCs w:val="26"/>
        </w:rPr>
        <w:t>nulidad total</w:t>
      </w:r>
      <w:r w:rsidR="006E5AA9">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F54858">
        <w:rPr>
          <w:rFonts w:ascii="Calibri" w:hAnsi="Calibri"/>
          <w:bCs/>
          <w:color w:val="7F7F7F" w:themeColor="text1" w:themeTint="80"/>
          <w:sz w:val="26"/>
          <w:szCs w:val="26"/>
        </w:rPr>
        <w:t xml:space="preserve">; y, 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 xml:space="preserve">n el mismo número de </w:t>
      </w:r>
      <w:r w:rsidR="00FA04C4" w:rsidRPr="00F9490B">
        <w:rPr>
          <w:rFonts w:ascii="Calibri" w:hAnsi="Calibri"/>
          <w:color w:val="7F7F7F" w:themeColor="text1" w:themeTint="80"/>
          <w:sz w:val="26"/>
          <w:szCs w:val="26"/>
        </w:rPr>
        <w:lastRenderedPageBreak/>
        <w:t>expediente</w:t>
      </w:r>
      <w:r w:rsidR="00FA04C4" w:rsidRPr="00F9490B">
        <w:rPr>
          <w:rFonts w:ascii="Calibri" w:hAnsi="Calibri"/>
          <w:bCs/>
          <w:color w:val="7F7F7F" w:themeColor="text1" w:themeTint="80"/>
          <w:sz w:val="26"/>
          <w:szCs w:val="26"/>
        </w:rPr>
        <w:t>;</w:t>
      </w:r>
      <w:r w:rsidR="00FC2859">
        <w:rPr>
          <w:rFonts w:ascii="Calibri" w:hAnsi="Calibri"/>
          <w:bCs/>
          <w:color w:val="7F7F7F" w:themeColor="text1" w:themeTint="80"/>
          <w:sz w:val="26"/>
          <w:szCs w:val="26"/>
        </w:rPr>
        <w:t xml:space="preserve"> </w:t>
      </w:r>
      <w:r w:rsidR="00FA04C4" w:rsidRPr="00F9490B">
        <w:rPr>
          <w:rFonts w:ascii="Calibri" w:hAnsi="Calibri"/>
          <w:color w:val="7F7F7F" w:themeColor="text1" w:themeTint="80"/>
          <w:sz w:val="26"/>
          <w:szCs w:val="27"/>
        </w:rPr>
        <w:t>al tener, como ya se dijo, su sustento y ser consecuencia de una orden de visita emitida de manera ilegal.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3F55B8">
        <w:rPr>
          <w:rFonts w:ascii="Calibri" w:hAnsi="Calibri"/>
          <w:color w:val="7F7F7F" w:themeColor="text1" w:themeTint="80"/>
          <w:sz w:val="26"/>
          <w:szCs w:val="27"/>
        </w:rPr>
        <w:t xml:space="preserve">. . . . . . . . . . . . . . . . . . .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0C3AD0" w:rsidRDefault="00F54858" w:rsidP="00A32EE2">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w:t>
      </w:r>
    </w:p>
    <w:p w:rsidR="000C3AD0" w:rsidRDefault="000C3AD0" w:rsidP="000C3AD0">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452/2015-JN</w:t>
      </w:r>
    </w:p>
    <w:p w:rsidR="000C3AD0" w:rsidRDefault="000C3AD0" w:rsidP="00A32EE2">
      <w:pPr>
        <w:pStyle w:val="Textoindependiente"/>
        <w:ind w:firstLine="708"/>
        <w:rPr>
          <w:rFonts w:ascii="Calibri" w:hAnsi="Calibri" w:cs="Arial"/>
          <w:color w:val="7F7F7F" w:themeColor="text1" w:themeTint="80"/>
          <w:sz w:val="26"/>
          <w:szCs w:val="26"/>
        </w:rPr>
      </w:pPr>
    </w:p>
    <w:p w:rsidR="00A32EE2" w:rsidRDefault="00A32EE2" w:rsidP="009A23DB">
      <w:pPr>
        <w:pStyle w:val="Textoindependiente"/>
        <w:rPr>
          <w:rFonts w:ascii="Calibri" w:hAnsi="Calibri" w:cs="Arial"/>
          <w:color w:val="7F7F7F" w:themeColor="text1" w:themeTint="80"/>
          <w:sz w:val="26"/>
          <w:szCs w:val="26"/>
        </w:rPr>
      </w:pPr>
      <w:r w:rsidRPr="00A32EE2">
        <w:rPr>
          <w:rFonts w:ascii="Calibri" w:hAnsi="Calibri" w:cs="Arial"/>
          <w:color w:val="7F7F7F" w:themeColor="text1" w:themeTint="80"/>
          <w:sz w:val="26"/>
          <w:szCs w:val="26"/>
        </w:rPr>
        <w:t xml:space="preserve">del acta de inspección, los hechos y nombre </w:t>
      </w:r>
      <w:r>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 xml:space="preserve">y la fecha de ese mandamiento, están </w:t>
      </w:r>
      <w:r w:rsidRPr="006B0FF3">
        <w:rPr>
          <w:rFonts w:ascii="Calibri" w:hAnsi="Calibri" w:cs="Arial"/>
          <w:b/>
          <w:color w:val="7F7F7F" w:themeColor="text1" w:themeTint="80"/>
          <w:sz w:val="26"/>
          <w:szCs w:val="26"/>
        </w:rPr>
        <w:t>escritos en letra manuscrita</w:t>
      </w:r>
      <w:r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Pr>
          <w:rFonts w:ascii="Calibri" w:hAnsi="Calibri" w:cs="Arial"/>
          <w:color w:val="7F7F7F" w:themeColor="text1" w:themeTint="80"/>
          <w:sz w:val="26"/>
          <w:szCs w:val="26"/>
        </w:rPr>
        <w:t xml:space="preserve">; </w:t>
      </w:r>
      <w:r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Pr>
          <w:rFonts w:ascii="Calibri" w:hAnsi="Calibri" w:cs="Arial"/>
          <w:color w:val="7F7F7F" w:themeColor="text1" w:themeTint="80"/>
          <w:sz w:val="26"/>
          <w:szCs w:val="26"/>
        </w:rPr>
        <w:t xml:space="preserve">el acta de visita de inspección; </w:t>
      </w:r>
      <w:r w:rsidRPr="00A32EE2">
        <w:rPr>
          <w:rFonts w:ascii="Calibri" w:hAnsi="Calibri" w:cs="Arial"/>
          <w:color w:val="7F7F7F" w:themeColor="text1" w:themeTint="80"/>
          <w:sz w:val="26"/>
          <w:szCs w:val="26"/>
        </w:rPr>
        <w:t>la orden de clausura y en el acta de clausura que obran en autos de esta causa administrativa</w:t>
      </w:r>
      <w:r>
        <w:rPr>
          <w:rFonts w:ascii="Calibri" w:hAnsi="Calibri" w:cs="Arial"/>
          <w:color w:val="7F7F7F" w:themeColor="text1" w:themeTint="80"/>
          <w:sz w:val="26"/>
          <w:szCs w:val="26"/>
        </w:rPr>
        <w:t xml:space="preserve">, lo que se traduce en que no existió </w:t>
      </w:r>
      <w:r w:rsidRPr="00A32EE2">
        <w:rPr>
          <w:rFonts w:ascii="Calibri" w:hAnsi="Calibri" w:cs="Arial"/>
          <w:color w:val="7F7F7F" w:themeColor="text1" w:themeTint="80"/>
          <w:sz w:val="26"/>
          <w:szCs w:val="26"/>
        </w:rPr>
        <w:t>la voluntad del titular de la Dirección General de Fiscalización y Control, de este Municipio</w:t>
      </w:r>
      <w:r>
        <w:rPr>
          <w:rFonts w:ascii="Calibri" w:hAnsi="Calibri" w:cs="Arial"/>
          <w:color w:val="7F7F7F" w:themeColor="text1" w:themeTint="80"/>
          <w:sz w:val="26"/>
          <w:szCs w:val="26"/>
        </w:rPr>
        <w:t>, para emitir la orden de clausura</w:t>
      </w:r>
      <w:r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w:t>
      </w:r>
      <w:r w:rsidR="0030638D">
        <w:rPr>
          <w:rFonts w:ascii="Calibri" w:hAnsi="Calibri" w:cs="Arial"/>
          <w:color w:val="7F7F7F" w:themeColor="text1" w:themeTint="80"/>
          <w:sz w:val="26"/>
          <w:szCs w:val="26"/>
        </w:rPr>
        <w:t>clausura</w:t>
      </w:r>
      <w:r w:rsidRPr="00A32EE2">
        <w:rPr>
          <w:rFonts w:ascii="Calibri" w:hAnsi="Calibri" w:cs="Arial"/>
          <w:color w:val="7F7F7F" w:themeColor="text1" w:themeTint="80"/>
          <w:sz w:val="26"/>
          <w:szCs w:val="26"/>
        </w:rPr>
        <w:t xml:space="preserve">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p>
    <w:p w:rsidR="002974BB" w:rsidRPr="001B0BE2" w:rsidRDefault="002974BB" w:rsidP="0028391D">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lastRenderedPageBreak/>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1B0BE2">
        <w:rPr>
          <w:rFonts w:ascii="Calibri" w:hAnsi="Calibri" w:cs="Arial"/>
          <w:color w:val="7F7F7F" w:themeColor="text1" w:themeTint="80"/>
          <w:sz w:val="26"/>
          <w:szCs w:val="26"/>
        </w:rPr>
        <w:t xml:space="preserve">. . . . . . . . . . . . . . . </w:t>
      </w:r>
    </w:p>
    <w:p w:rsidR="004B3DFC" w:rsidRPr="001B0BE2" w:rsidRDefault="004B3DFC" w:rsidP="004B3DFC">
      <w:pPr>
        <w:pStyle w:val="Textoindependiente"/>
        <w:ind w:firstLine="708"/>
        <w:rPr>
          <w:rFonts w:ascii="Calibri" w:hAnsi="Calibri" w:cs="Arial"/>
          <w:color w:val="7F7F7F" w:themeColor="text1" w:themeTint="80"/>
          <w:sz w:val="20"/>
          <w:szCs w:val="20"/>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1B0BE2" w:rsidRDefault="00FA04C4" w:rsidP="004B3DFC">
      <w:pPr>
        <w:pStyle w:val="Textoindependiente"/>
        <w:ind w:firstLine="708"/>
        <w:rPr>
          <w:rFonts w:ascii="Calibri" w:hAnsi="Calibri"/>
          <w:b/>
          <w:bCs/>
          <w:i/>
          <w:iCs/>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De lo pretendido por l</w:t>
      </w:r>
      <w:r w:rsidR="0041005A">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814513">
        <w:rPr>
          <w:rFonts w:ascii="Calibri" w:hAnsi="Calibri"/>
          <w:color w:val="7F7F7F" w:themeColor="text1" w:themeTint="80"/>
          <w:sz w:val="26"/>
          <w:szCs w:val="26"/>
        </w:rPr>
        <w:t>14 catorce de mayo</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1B0BE2">
        <w:rPr>
          <w:rFonts w:ascii="Calibri" w:hAnsi="Calibri"/>
          <w:color w:val="7F7F7F" w:themeColor="text1" w:themeTint="80"/>
          <w:sz w:val="26"/>
          <w:szCs w:val="26"/>
        </w:rPr>
        <w:t>. . . . . . . . . . . . . . . . . . . . . . . . . . . . . . . . . . . . . . . . . . . . . . . . . . . . . . . . . . .</w:t>
      </w:r>
    </w:p>
    <w:p w:rsidR="004B3DFC" w:rsidRPr="001B0BE2" w:rsidRDefault="004B3DFC" w:rsidP="004B3DFC">
      <w:pPr>
        <w:ind w:firstLine="708"/>
        <w:jc w:val="both"/>
        <w:rPr>
          <w:rFonts w:ascii="Calibri" w:hAnsi="Calibri"/>
          <w:color w:val="7F7F7F" w:themeColor="text1" w:themeTint="80"/>
          <w:sz w:val="20"/>
          <w:szCs w:val="20"/>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toda vez qu</w:t>
      </w:r>
      <w:r w:rsidR="004A41DC">
        <w:rPr>
          <w:rFonts w:ascii="Calibri" w:hAnsi="Calibri"/>
          <w:b/>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1B0BE2">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1B0BE2" w:rsidRDefault="008F0CF4" w:rsidP="00EA4780">
      <w:pPr>
        <w:pStyle w:val="Textoindependiente"/>
        <w:tabs>
          <w:tab w:val="left" w:pos="6662"/>
        </w:tabs>
        <w:rPr>
          <w:rFonts w:ascii="Calibri" w:hAnsi="Calibri" w:cs="Calibri"/>
          <w:bCs/>
          <w:color w:val="7F7F7F" w:themeColor="text1" w:themeTint="80"/>
          <w:sz w:val="20"/>
          <w:szCs w:val="20"/>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1B0BE2" w:rsidRDefault="004B3DFC" w:rsidP="004B3DFC">
      <w:pPr>
        <w:pStyle w:val="Textoindependiente"/>
        <w:rPr>
          <w:rFonts w:ascii="Calibri" w:hAnsi="Calibri" w:cs="Arial"/>
          <w:color w:val="7F7F7F" w:themeColor="text1" w:themeTint="80"/>
          <w:sz w:val="20"/>
          <w:szCs w:val="20"/>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BF5CA7">
        <w:rPr>
          <w:rFonts w:ascii="Calibri" w:hAnsi="Calibri" w:cs="Arial"/>
          <w:color w:val="7F7F7F" w:themeColor="text1" w:themeTint="80"/>
          <w:sz w:val="26"/>
          <w:szCs w:val="26"/>
        </w:rPr>
        <w:t xml:space="preserve">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1B0BE2" w:rsidRDefault="004B3DFC" w:rsidP="004B3DFC">
      <w:pPr>
        <w:jc w:val="both"/>
        <w:rPr>
          <w:rFonts w:ascii="Calibri" w:hAnsi="Calibri" w:cs="Arial"/>
          <w:b/>
          <w:bCs/>
          <w:i/>
          <w:iCs/>
          <w:color w:val="7F7F7F" w:themeColor="text1" w:themeTint="80"/>
          <w:sz w:val="20"/>
          <w:szCs w:val="20"/>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l</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ciudadan</w:t>
      </w:r>
      <w:r w:rsidR="00EA4780">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00706189">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r w:rsidR="001B0BE2">
        <w:rPr>
          <w:rFonts w:ascii="Calibri" w:hAnsi="Calibri" w:cs="Arial"/>
          <w:color w:val="7F7F7F" w:themeColor="text1" w:themeTint="80"/>
          <w:sz w:val="26"/>
          <w:szCs w:val="26"/>
        </w:rPr>
        <w:t xml:space="preserve"> . . . </w:t>
      </w:r>
    </w:p>
    <w:p w:rsidR="004B3DFC" w:rsidRPr="001B0BE2" w:rsidRDefault="004B3DFC" w:rsidP="004B3DFC">
      <w:pPr>
        <w:jc w:val="both"/>
        <w:rPr>
          <w:rFonts w:ascii="Calibri" w:hAnsi="Calibri" w:cs="Arial"/>
          <w:b/>
          <w:bCs/>
          <w:color w:val="7F7F7F" w:themeColor="text1" w:themeTint="80"/>
          <w:sz w:val="20"/>
          <w:szCs w:val="20"/>
        </w:rPr>
      </w:pPr>
    </w:p>
    <w:p w:rsidR="004B3DFC" w:rsidRPr="00832B72" w:rsidRDefault="004B3DFC" w:rsidP="00832B72">
      <w:pPr>
        <w:ind w:firstLine="708"/>
        <w:jc w:val="both"/>
        <w:rPr>
          <w:rFonts w:ascii="Calibri" w:hAnsi="Calibri"/>
          <w:color w:val="7F7F7F" w:themeColor="text1" w:themeTint="80"/>
          <w:sz w:val="26"/>
          <w:szCs w:val="27"/>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814513">
        <w:rPr>
          <w:rFonts w:ascii="Calibri" w:hAnsi="Calibri"/>
          <w:b/>
          <w:color w:val="7F7F7F" w:themeColor="text1" w:themeTint="80"/>
          <w:sz w:val="26"/>
          <w:szCs w:val="26"/>
        </w:rPr>
        <w:t xml:space="preserve">14 </w:t>
      </w:r>
      <w:r w:rsidR="00814513" w:rsidRPr="0030638D">
        <w:rPr>
          <w:rFonts w:ascii="Calibri" w:hAnsi="Calibri"/>
          <w:color w:val="7F7F7F" w:themeColor="text1" w:themeTint="80"/>
          <w:sz w:val="26"/>
          <w:szCs w:val="26"/>
        </w:rPr>
        <w:t>catorce de</w:t>
      </w:r>
      <w:r w:rsidR="00814513">
        <w:rPr>
          <w:rFonts w:ascii="Calibri" w:hAnsi="Calibri"/>
          <w:b/>
          <w:color w:val="7F7F7F" w:themeColor="text1" w:themeTint="80"/>
          <w:sz w:val="26"/>
          <w:szCs w:val="26"/>
        </w:rPr>
        <w:t xml:space="preserve"> mayo</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1D2D49">
        <w:rPr>
          <w:rFonts w:ascii="Calibri" w:hAnsi="Calibri"/>
          <w:b/>
          <w:color w:val="7F7F7F" w:themeColor="text1" w:themeTint="80"/>
          <w:sz w:val="26"/>
          <w:szCs w:val="26"/>
        </w:rPr>
        <w:t>0</w:t>
      </w:r>
      <w:r w:rsidR="00B85D1C">
        <w:rPr>
          <w:rFonts w:ascii="Calibri" w:hAnsi="Calibri"/>
          <w:b/>
          <w:color w:val="7F7F7F" w:themeColor="text1" w:themeTint="80"/>
          <w:sz w:val="26"/>
          <w:szCs w:val="26"/>
        </w:rPr>
        <w:t>268</w:t>
      </w:r>
      <w:r w:rsidR="00A57007">
        <w:rPr>
          <w:rFonts w:ascii="Calibri" w:hAnsi="Calibri"/>
          <w:b/>
          <w:color w:val="7F7F7F" w:themeColor="text1" w:themeTint="80"/>
          <w:sz w:val="26"/>
          <w:szCs w:val="26"/>
        </w:rPr>
        <w:t>/2015</w:t>
      </w:r>
      <w:r w:rsidR="00B85D1C">
        <w:rPr>
          <w:rFonts w:ascii="Calibri" w:hAnsi="Calibri"/>
          <w:b/>
          <w:color w:val="7F7F7F" w:themeColor="text1" w:themeTint="80"/>
          <w:sz w:val="26"/>
          <w:szCs w:val="26"/>
        </w:rPr>
        <w:t>/</w:t>
      </w:r>
      <w:r w:rsidR="00A57007">
        <w:rPr>
          <w:rFonts w:ascii="Calibri" w:hAnsi="Calibri"/>
          <w:b/>
          <w:color w:val="7F7F7F" w:themeColor="text1" w:themeTint="80"/>
          <w:sz w:val="26"/>
          <w:szCs w:val="26"/>
        </w:rPr>
        <w:t>JA</w:t>
      </w:r>
      <w:r w:rsidR="00EA4780" w:rsidRPr="00BF5CA7">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y</w:t>
      </w:r>
      <w:r w:rsidR="0030638D">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todos de la misma fecha que la de la orden de visita de inspección y con el mismo número de expediente</w:t>
      </w:r>
      <w:r w:rsidRPr="00BF5CA7">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 xml:space="preserve">ello </w:t>
      </w:r>
      <w:r w:rsidRPr="00BF5CA7">
        <w:rPr>
          <w:rFonts w:ascii="Calibri" w:hAnsi="Calibri" w:cs="Arial"/>
          <w:color w:val="7F7F7F" w:themeColor="text1" w:themeTint="80"/>
          <w:sz w:val="26"/>
          <w:szCs w:val="26"/>
        </w:rPr>
        <w:lastRenderedPageBreak/>
        <w:t>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w:t>
      </w:r>
      <w:r w:rsidR="001B0BE2">
        <w:rPr>
          <w:rFonts w:ascii="Calibri" w:hAnsi="Calibri" w:cs="Arial"/>
          <w:color w:val="7F7F7F" w:themeColor="text1" w:themeTint="80"/>
          <w:sz w:val="26"/>
          <w:szCs w:val="26"/>
        </w:rPr>
        <w:t xml:space="preserve"> . . . . . . . .</w:t>
      </w:r>
    </w:p>
    <w:p w:rsidR="004B3DFC" w:rsidRPr="001B0BE2" w:rsidRDefault="004B3DFC" w:rsidP="004B3DFC">
      <w:pPr>
        <w:pStyle w:val="Textoindependiente"/>
        <w:rPr>
          <w:rFonts w:ascii="Calibri" w:hAnsi="Calibri" w:cs="Calibri"/>
          <w:color w:val="7F7F7F" w:themeColor="text1" w:themeTint="80"/>
          <w:sz w:val="20"/>
          <w:szCs w:val="20"/>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814513">
        <w:rPr>
          <w:rFonts w:ascii="Calibri" w:hAnsi="Calibri"/>
          <w:color w:val="7F7F7F" w:themeColor="text1" w:themeTint="80"/>
          <w:sz w:val="26"/>
          <w:szCs w:val="26"/>
        </w:rPr>
        <w:t>14 catorce de mayo</w:t>
      </w:r>
      <w:r w:rsidR="008E0AB6" w:rsidRPr="00BF5CA7">
        <w:rPr>
          <w:rFonts w:ascii="Calibri" w:hAnsi="Calibri"/>
          <w:color w:val="7F7F7F" w:themeColor="text1" w:themeTint="80"/>
          <w:sz w:val="26"/>
          <w:szCs w:val="26"/>
        </w:rPr>
        <w:t xml:space="preserve"> del año 2015 dos mil quince, sobre </w:t>
      </w:r>
      <w:r w:rsidR="008E0AB6" w:rsidRPr="0028391D">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28391D">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calle </w:t>
      </w:r>
      <w:r w:rsidR="00061D4D">
        <w:rPr>
          <w:rFonts w:ascii="Calibri" w:hAnsi="Calibri"/>
          <w:color w:val="7F7F7F" w:themeColor="text1" w:themeTint="80"/>
          <w:sz w:val="26"/>
          <w:szCs w:val="26"/>
          <w:highlight w:val="yellow"/>
        </w:rPr>
        <w:t>*****</w:t>
      </w:r>
      <w:r w:rsidR="00E538D7">
        <w:rPr>
          <w:rFonts w:ascii="Calibri" w:hAnsi="Calibri"/>
          <w:color w:val="7F7F7F" w:themeColor="text1" w:themeTint="80"/>
          <w:sz w:val="26"/>
          <w:szCs w:val="26"/>
        </w:rPr>
        <w:t xml:space="preserve"> </w:t>
      </w:r>
      <w:r w:rsidR="00FE6FD0">
        <w:rPr>
          <w:rFonts w:ascii="Calibri" w:hAnsi="Calibri"/>
          <w:color w:val="7F7F7F" w:themeColor="text1" w:themeTint="80"/>
          <w:sz w:val="26"/>
          <w:szCs w:val="26"/>
        </w:rPr>
        <w:t xml:space="preserve"> </w:t>
      </w:r>
      <w:r w:rsidR="008E0AB6" w:rsidRPr="00BF5CA7">
        <w:rPr>
          <w:rFonts w:ascii="Calibri" w:hAnsi="Calibri"/>
          <w:color w:val="7F7F7F" w:themeColor="text1" w:themeTint="80"/>
          <w:sz w:val="26"/>
          <w:szCs w:val="26"/>
        </w:rPr>
        <w:t>de esta ciudad</w:t>
      </w:r>
      <w:r w:rsidR="008E0AB6" w:rsidRPr="00BF5CA7">
        <w:rPr>
          <w:rFonts w:ascii="Calibri" w:hAnsi="Calibri" w:cs="Calibri"/>
          <w:color w:val="7F7F7F" w:themeColor="text1" w:themeTint="80"/>
          <w:sz w:val="26"/>
          <w:szCs w:val="26"/>
        </w:rPr>
        <w:t xml:space="preserve">; de acuerdo a lo argumentado en el Considerando Octavo de esta misma resolución. </w:t>
      </w:r>
      <w:r w:rsidR="008E0AB6">
        <w:rPr>
          <w:rFonts w:ascii="Calibri" w:hAnsi="Calibri" w:cs="Calibri"/>
          <w:color w:val="7F7F7F" w:themeColor="text1" w:themeTint="80"/>
          <w:sz w:val="26"/>
          <w:szCs w:val="26"/>
        </w:rPr>
        <w:t xml:space="preserve">. . . . . . . . . . . . . . . . . . . . . . . . . . . . </w:t>
      </w:r>
      <w:r w:rsidR="001B0BE2">
        <w:rPr>
          <w:rFonts w:ascii="Calibri" w:hAnsi="Calibri" w:cs="Calibri"/>
          <w:color w:val="7F7F7F" w:themeColor="text1" w:themeTint="80"/>
          <w:sz w:val="26"/>
          <w:szCs w:val="26"/>
        </w:rPr>
        <w:t xml:space="preserve">. . . . . . . . . . . . . . . . . . . . . . . . . </w:t>
      </w:r>
    </w:p>
    <w:p w:rsidR="008E0AB6" w:rsidRPr="001B0BE2" w:rsidRDefault="008E0AB6" w:rsidP="008E0AB6">
      <w:pPr>
        <w:pStyle w:val="Textoindependiente"/>
        <w:rPr>
          <w:rFonts w:ascii="Calibri" w:hAnsi="Calibri" w:cs="Arial"/>
          <w:b/>
          <w:bCs/>
          <w:i/>
          <w:iCs/>
          <w:color w:val="7F7F7F" w:themeColor="text1" w:themeTint="80"/>
          <w:sz w:val="20"/>
          <w:szCs w:val="20"/>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1B0BE2">
        <w:rPr>
          <w:rFonts w:ascii="Calibri" w:hAnsi="Calibri" w:cs="Calibri"/>
          <w:color w:val="7F7F7F" w:themeColor="text1" w:themeTint="80"/>
          <w:sz w:val="26"/>
          <w:szCs w:val="26"/>
        </w:rPr>
        <w:t xml:space="preserve"> .</w:t>
      </w:r>
    </w:p>
    <w:p w:rsidR="00345365" w:rsidRPr="001B0BE2" w:rsidRDefault="00345365" w:rsidP="00C46636">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1B0BE2" w:rsidRDefault="004B3DFC" w:rsidP="004B3DFC">
      <w:pPr>
        <w:pStyle w:val="Textoindependiente"/>
        <w:rPr>
          <w:rFonts w:ascii="Calibri" w:hAnsi="Calibri" w:cs="Arial"/>
          <w:color w:val="7F7F7F" w:themeColor="text1" w:themeTint="80"/>
          <w:sz w:val="20"/>
          <w:szCs w:val="20"/>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1B0BE2" w:rsidRDefault="004B3DFC" w:rsidP="004B3DFC">
      <w:pPr>
        <w:pStyle w:val="Textoindependiente"/>
        <w:rPr>
          <w:rFonts w:ascii="Calibri" w:hAnsi="Calibri" w:cs="Arial"/>
          <w:color w:val="7F7F7F" w:themeColor="text1" w:themeTint="80"/>
          <w:sz w:val="20"/>
          <w:szCs w:val="20"/>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sectPr w:rsidR="004B3DFC" w:rsidRPr="00BF5CA7" w:rsidSect="00E31BEB">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93A" w:rsidRDefault="009A293A">
      <w:r>
        <w:separator/>
      </w:r>
    </w:p>
  </w:endnote>
  <w:endnote w:type="continuationSeparator" w:id="0">
    <w:p w:rsidR="009A293A" w:rsidRDefault="009A2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93A" w:rsidRDefault="009A293A">
      <w:r>
        <w:separator/>
      </w:r>
    </w:p>
  </w:footnote>
  <w:footnote w:type="continuationSeparator" w:id="0">
    <w:p w:rsidR="009A293A" w:rsidRDefault="009A29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9A29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1D4D">
      <w:rPr>
        <w:rStyle w:val="Nmerodepgina"/>
        <w:noProof/>
      </w:rPr>
      <w:t>2</w:t>
    </w:r>
    <w:r>
      <w:rPr>
        <w:rStyle w:val="Nmerodepgina"/>
      </w:rPr>
      <w:fldChar w:fldCharType="end"/>
    </w:r>
  </w:p>
  <w:p w:rsidR="00A70119" w:rsidRDefault="009A293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BEF"/>
    <w:rsid w:val="00014356"/>
    <w:rsid w:val="000314EF"/>
    <w:rsid w:val="00050C90"/>
    <w:rsid w:val="00061D4D"/>
    <w:rsid w:val="00074B0E"/>
    <w:rsid w:val="00087CC9"/>
    <w:rsid w:val="000909AE"/>
    <w:rsid w:val="000954F8"/>
    <w:rsid w:val="000A4ED3"/>
    <w:rsid w:val="000B4397"/>
    <w:rsid w:val="000C3AD0"/>
    <w:rsid w:val="000C6B3D"/>
    <w:rsid w:val="000D6D33"/>
    <w:rsid w:val="000E019D"/>
    <w:rsid w:val="000E6F65"/>
    <w:rsid w:val="000F12ED"/>
    <w:rsid w:val="000F71B5"/>
    <w:rsid w:val="00114938"/>
    <w:rsid w:val="00134594"/>
    <w:rsid w:val="00140A1C"/>
    <w:rsid w:val="001530CF"/>
    <w:rsid w:val="00163E8C"/>
    <w:rsid w:val="001731BD"/>
    <w:rsid w:val="0018462E"/>
    <w:rsid w:val="00193C54"/>
    <w:rsid w:val="001B0BE2"/>
    <w:rsid w:val="001C1EB4"/>
    <w:rsid w:val="001D2D49"/>
    <w:rsid w:val="001E492B"/>
    <w:rsid w:val="001F7B1D"/>
    <w:rsid w:val="00202A4D"/>
    <w:rsid w:val="00231AD0"/>
    <w:rsid w:val="00245DB1"/>
    <w:rsid w:val="002802A8"/>
    <w:rsid w:val="0028391D"/>
    <w:rsid w:val="002919BC"/>
    <w:rsid w:val="00295DA4"/>
    <w:rsid w:val="002974BB"/>
    <w:rsid w:val="002E0E1F"/>
    <w:rsid w:val="0030638D"/>
    <w:rsid w:val="00343E70"/>
    <w:rsid w:val="0034453B"/>
    <w:rsid w:val="00345365"/>
    <w:rsid w:val="00355D69"/>
    <w:rsid w:val="00363074"/>
    <w:rsid w:val="00365685"/>
    <w:rsid w:val="0038550B"/>
    <w:rsid w:val="00396A7F"/>
    <w:rsid w:val="003B62CD"/>
    <w:rsid w:val="003C319B"/>
    <w:rsid w:val="003D0B6B"/>
    <w:rsid w:val="003F0CFE"/>
    <w:rsid w:val="003F55B8"/>
    <w:rsid w:val="00402E1F"/>
    <w:rsid w:val="0041005A"/>
    <w:rsid w:val="004328C1"/>
    <w:rsid w:val="00436BB1"/>
    <w:rsid w:val="0047616C"/>
    <w:rsid w:val="0047708E"/>
    <w:rsid w:val="0049794B"/>
    <w:rsid w:val="004A41DC"/>
    <w:rsid w:val="004B3DFC"/>
    <w:rsid w:val="004C1AE0"/>
    <w:rsid w:val="004C212B"/>
    <w:rsid w:val="004E2B17"/>
    <w:rsid w:val="00523A0C"/>
    <w:rsid w:val="00562A66"/>
    <w:rsid w:val="00562F72"/>
    <w:rsid w:val="00577C15"/>
    <w:rsid w:val="005820E3"/>
    <w:rsid w:val="005A1EAD"/>
    <w:rsid w:val="005C1EF8"/>
    <w:rsid w:val="005D15CD"/>
    <w:rsid w:val="006071F6"/>
    <w:rsid w:val="0064042F"/>
    <w:rsid w:val="00656D08"/>
    <w:rsid w:val="00684D24"/>
    <w:rsid w:val="00685ED2"/>
    <w:rsid w:val="006B0FF3"/>
    <w:rsid w:val="006D41F4"/>
    <w:rsid w:val="006E1F7A"/>
    <w:rsid w:val="006E5AA9"/>
    <w:rsid w:val="006F3DF8"/>
    <w:rsid w:val="006F5214"/>
    <w:rsid w:val="006F63DA"/>
    <w:rsid w:val="006F74D0"/>
    <w:rsid w:val="0070292F"/>
    <w:rsid w:val="00706056"/>
    <w:rsid w:val="00706189"/>
    <w:rsid w:val="00711C4D"/>
    <w:rsid w:val="0071725A"/>
    <w:rsid w:val="00736742"/>
    <w:rsid w:val="00781737"/>
    <w:rsid w:val="00784CB8"/>
    <w:rsid w:val="007926D3"/>
    <w:rsid w:val="007B3DCF"/>
    <w:rsid w:val="007D6748"/>
    <w:rsid w:val="007D67C9"/>
    <w:rsid w:val="007E69C7"/>
    <w:rsid w:val="0080464C"/>
    <w:rsid w:val="008063DD"/>
    <w:rsid w:val="00814513"/>
    <w:rsid w:val="00832B72"/>
    <w:rsid w:val="00833B37"/>
    <w:rsid w:val="00834317"/>
    <w:rsid w:val="00852F3F"/>
    <w:rsid w:val="00871752"/>
    <w:rsid w:val="00882A95"/>
    <w:rsid w:val="008A1049"/>
    <w:rsid w:val="008A53D5"/>
    <w:rsid w:val="008A5D63"/>
    <w:rsid w:val="008A60EC"/>
    <w:rsid w:val="008B535A"/>
    <w:rsid w:val="008B6F66"/>
    <w:rsid w:val="008C282C"/>
    <w:rsid w:val="008C61C6"/>
    <w:rsid w:val="008D4CDE"/>
    <w:rsid w:val="008E0AB6"/>
    <w:rsid w:val="008E6FE7"/>
    <w:rsid w:val="008F0CF4"/>
    <w:rsid w:val="00917CF2"/>
    <w:rsid w:val="00920B03"/>
    <w:rsid w:val="009429E2"/>
    <w:rsid w:val="009466BA"/>
    <w:rsid w:val="00951162"/>
    <w:rsid w:val="00951532"/>
    <w:rsid w:val="00953618"/>
    <w:rsid w:val="009661F2"/>
    <w:rsid w:val="00971AA2"/>
    <w:rsid w:val="00981D66"/>
    <w:rsid w:val="0098360E"/>
    <w:rsid w:val="00983652"/>
    <w:rsid w:val="00992C9C"/>
    <w:rsid w:val="009964FC"/>
    <w:rsid w:val="009A23DB"/>
    <w:rsid w:val="009A293A"/>
    <w:rsid w:val="009A50BE"/>
    <w:rsid w:val="009A69D8"/>
    <w:rsid w:val="009B4FBA"/>
    <w:rsid w:val="009D1C9D"/>
    <w:rsid w:val="009E10FA"/>
    <w:rsid w:val="009E15DC"/>
    <w:rsid w:val="00A02F6E"/>
    <w:rsid w:val="00A17A21"/>
    <w:rsid w:val="00A217CD"/>
    <w:rsid w:val="00A22410"/>
    <w:rsid w:val="00A2439F"/>
    <w:rsid w:val="00A32EE2"/>
    <w:rsid w:val="00A52CE6"/>
    <w:rsid w:val="00A57007"/>
    <w:rsid w:val="00A8545F"/>
    <w:rsid w:val="00A97819"/>
    <w:rsid w:val="00A97A65"/>
    <w:rsid w:val="00AB21E4"/>
    <w:rsid w:val="00AB7C8F"/>
    <w:rsid w:val="00AC206B"/>
    <w:rsid w:val="00AC308A"/>
    <w:rsid w:val="00AE1A6F"/>
    <w:rsid w:val="00AE3E7D"/>
    <w:rsid w:val="00B05B82"/>
    <w:rsid w:val="00B106D7"/>
    <w:rsid w:val="00B37808"/>
    <w:rsid w:val="00B427DE"/>
    <w:rsid w:val="00B62D66"/>
    <w:rsid w:val="00B65360"/>
    <w:rsid w:val="00B75A23"/>
    <w:rsid w:val="00B75DD6"/>
    <w:rsid w:val="00B82CC3"/>
    <w:rsid w:val="00B85D1C"/>
    <w:rsid w:val="00BA36F5"/>
    <w:rsid w:val="00BB36E8"/>
    <w:rsid w:val="00BC5DA4"/>
    <w:rsid w:val="00BC7D02"/>
    <w:rsid w:val="00BE73AD"/>
    <w:rsid w:val="00BF0BF6"/>
    <w:rsid w:val="00BF6197"/>
    <w:rsid w:val="00C10076"/>
    <w:rsid w:val="00C10164"/>
    <w:rsid w:val="00C22DC8"/>
    <w:rsid w:val="00C34535"/>
    <w:rsid w:val="00C464F2"/>
    <w:rsid w:val="00C46636"/>
    <w:rsid w:val="00C72228"/>
    <w:rsid w:val="00C73B77"/>
    <w:rsid w:val="00CA2C14"/>
    <w:rsid w:val="00CB482D"/>
    <w:rsid w:val="00CE396D"/>
    <w:rsid w:val="00CF3997"/>
    <w:rsid w:val="00CF7B38"/>
    <w:rsid w:val="00D1202C"/>
    <w:rsid w:val="00D14E8F"/>
    <w:rsid w:val="00D30188"/>
    <w:rsid w:val="00D36AA9"/>
    <w:rsid w:val="00D37876"/>
    <w:rsid w:val="00D4766E"/>
    <w:rsid w:val="00D61484"/>
    <w:rsid w:val="00D77803"/>
    <w:rsid w:val="00D77B11"/>
    <w:rsid w:val="00DA26F1"/>
    <w:rsid w:val="00DB641E"/>
    <w:rsid w:val="00DE0314"/>
    <w:rsid w:val="00DF3DD6"/>
    <w:rsid w:val="00E0072D"/>
    <w:rsid w:val="00E16C1B"/>
    <w:rsid w:val="00E31BEB"/>
    <w:rsid w:val="00E50512"/>
    <w:rsid w:val="00E538D7"/>
    <w:rsid w:val="00E54AA9"/>
    <w:rsid w:val="00E77635"/>
    <w:rsid w:val="00E80747"/>
    <w:rsid w:val="00E83986"/>
    <w:rsid w:val="00E950DE"/>
    <w:rsid w:val="00E959B2"/>
    <w:rsid w:val="00EA36B8"/>
    <w:rsid w:val="00EA4780"/>
    <w:rsid w:val="00EC7D6A"/>
    <w:rsid w:val="00EE4879"/>
    <w:rsid w:val="00F446C0"/>
    <w:rsid w:val="00F52045"/>
    <w:rsid w:val="00F54858"/>
    <w:rsid w:val="00F95BE9"/>
    <w:rsid w:val="00F95EF2"/>
    <w:rsid w:val="00FA04C4"/>
    <w:rsid w:val="00FA5C47"/>
    <w:rsid w:val="00FA79FD"/>
    <w:rsid w:val="00FB227A"/>
    <w:rsid w:val="00FB6D86"/>
    <w:rsid w:val="00FC2718"/>
    <w:rsid w:val="00FC2859"/>
    <w:rsid w:val="00FC6D4E"/>
    <w:rsid w:val="00FD5D57"/>
    <w:rsid w:val="00FE0446"/>
    <w:rsid w:val="00FE6FD0"/>
    <w:rsid w:val="00FF119B"/>
    <w:rsid w:val="00FF2C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1534151210">
      <w:bodyDiv w:val="1"/>
      <w:marLeft w:val="0"/>
      <w:marRight w:val="0"/>
      <w:marTop w:val="0"/>
      <w:marBottom w:val="0"/>
      <w:divBdr>
        <w:top w:val="none" w:sz="0" w:space="0" w:color="auto"/>
        <w:left w:val="none" w:sz="0" w:space="0" w:color="auto"/>
        <w:bottom w:val="none" w:sz="0" w:space="0" w:color="auto"/>
        <w:right w:val="none" w:sz="0" w:space="0" w:color="auto"/>
      </w:divBdr>
    </w:div>
    <w:div w:id="214318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4328</Words>
  <Characters>23807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2017-06-13T15:52:00Z</dcterms:created>
  <dcterms:modified xsi:type="dcterms:W3CDTF">2017-06-13T15:52:00Z</dcterms:modified>
</cp:coreProperties>
</file>